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17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520770</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Dallas, US, 17th-21st Nov.,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RF requirements for Rel-20 HPUE</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achieved some preliminary agreements on 4Tx HPUE with up to 32dBm maximum output power (MOP) ans PC1.5 2Tx HPUE for FDD bands as follows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pStyle w:val="3"/>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1.1 MPR/A-MPR assumptions</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Evaluate assuming following antenna isolation assumptions</w:t>
            </w:r>
          </w:p>
          <w:p>
            <w:pPr>
              <w:pStyle w:val="31"/>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CPE, assuming both 10dB and 20dB,</w:t>
            </w:r>
          </w:p>
          <w:p>
            <w:pPr>
              <w:pStyle w:val="31"/>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For FWA, assuming 20dB.</w:t>
            </w:r>
          </w:p>
          <w:p>
            <w:pPr>
              <w:keepLines w:val="0"/>
              <w:pageBreakBefore w:val="0"/>
              <w:kinsoku/>
              <w:wordWrap/>
              <w:overflowPunct/>
              <w:topLinePunct w:val="0"/>
              <w:autoSpaceDE/>
              <w:autoSpaceDN/>
              <w:bidi w:val="0"/>
              <w:adjustRightInd/>
              <w:snapToGrid w:val="0"/>
              <w:spacing w:before="60" w:after="60" w:line="240" w:lineRule="auto"/>
              <w:ind w:left="420"/>
              <w:textAlignment w:val="auto"/>
              <w:rPr>
                <w:rFonts w:hint="default" w:ascii="Times New Roman" w:hAnsi="Times New Roman" w:cs="Times New Roman"/>
                <w:sz w:val="20"/>
                <w:szCs w:val="20"/>
              </w:rPr>
            </w:pPr>
            <w:bookmarkStart w:id="0" w:name="_Hlk211551102"/>
            <w:r>
              <w:rPr>
                <w:rFonts w:hint="default" w:ascii="Times New Roman" w:hAnsi="Times New Roman" w:cs="Times New Roman"/>
                <w:sz w:val="20"/>
                <w:szCs w:val="20"/>
              </w:rPr>
              <w:t>Come back once MPR results are available, to evaluate if it is possible to select a single CPE antenna isolation assumption based on the MPR results.</w:t>
            </w:r>
            <w:bookmarkEnd w:id="0"/>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p>
          <w:p>
            <w:pPr>
              <w:pStyle w:val="3"/>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1.2 NS to be evaluated</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Evaluate A-MPR for NS_04 and NS_47 for n41.</w:t>
            </w:r>
          </w:p>
          <w:p>
            <w:pPr>
              <w:pStyle w:val="31"/>
              <w:keepLines w:val="0"/>
              <w:pageBreakBefore w:val="0"/>
              <w:numPr>
                <w:ilvl w:val="0"/>
                <w:numId w:val="0"/>
              </w:numPr>
              <w:kinsoku/>
              <w:wordWrap/>
              <w:overflowPunct/>
              <w:topLinePunct w:val="0"/>
              <w:autoSpaceDE/>
              <w:autoSpaceDN/>
              <w:bidi w:val="0"/>
              <w:adjustRightInd/>
              <w:snapToGrid w:val="0"/>
              <w:spacing w:before="60" w:after="60" w:line="240" w:lineRule="auto"/>
              <w:ind w:leftChars="0"/>
              <w:textAlignment w:val="auto"/>
              <w:rPr>
                <w:rFonts w:hint="default"/>
                <w:bCs/>
                <w:i w:val="0"/>
                <w:iCs w:val="0"/>
                <w:color w:val="auto"/>
                <w:kern w:val="0"/>
                <w:sz w:val="20"/>
                <w:szCs w:val="20"/>
                <w:highlight w:val="none"/>
                <w:vertAlign w:val="baseline"/>
                <w:lang w:val="en-US" w:eastAsia="zh-CN"/>
              </w:rPr>
            </w:pPr>
          </w:p>
          <w:p>
            <w:pPr>
              <w:pStyle w:val="3"/>
              <w:keepLines w:val="0"/>
              <w:pageBreakBefore w:val="0"/>
              <w:numPr>
                <w:ilvl w:val="1"/>
                <w:numId w:val="5"/>
              </w:numPr>
              <w:kinsoku/>
              <w:wordWrap/>
              <w:overflowPunct/>
              <w:topLinePunct w:val="0"/>
              <w:autoSpaceDE/>
              <w:autoSpaceDN/>
              <w:bidi w:val="0"/>
              <w:adjustRightInd/>
              <w:snapToGrid w:val="0"/>
              <w:spacing w:before="60" w:after="60" w:line="240" w:lineRule="auto"/>
              <w:ind w:left="4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 Maximum output power</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Agreement:</w:t>
            </w:r>
            <w:bookmarkStart w:id="1" w:name="_Hlk190073821"/>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29 dBm is the maximum output power.</w:t>
            </w:r>
          </w:p>
          <w:p>
            <w:pPr>
              <w:pStyle w:val="31"/>
              <w:keepLines w:val="0"/>
              <w:pageBreakBefore w:val="0"/>
              <w:kinsoku/>
              <w:wordWrap/>
              <w:overflowPunct/>
              <w:topLinePunct w:val="0"/>
              <w:autoSpaceDE/>
              <w:autoSpaceDN/>
              <w:bidi w:val="0"/>
              <w:adjustRightInd/>
              <w:snapToGrid w:val="0"/>
              <w:spacing w:before="60" w:after="60" w:line="240" w:lineRule="auto"/>
              <w:ind w:left="420" w:firstLine="0" w:firstLineChars="0"/>
              <w:textAlignment w:val="auto"/>
              <w:rPr>
                <w:rFonts w:hint="default" w:ascii="Times New Roman" w:hAnsi="Times New Roman" w:cs="Times New Roman"/>
                <w:sz w:val="20"/>
                <w:szCs w:val="20"/>
              </w:rPr>
            </w:pPr>
          </w:p>
          <w:bookmarkEnd w:id="1"/>
          <w:p>
            <w:pPr>
              <w:pStyle w:val="3"/>
              <w:keepLines w:val="0"/>
              <w:pageBreakBefore w:val="0"/>
              <w:numPr>
                <w:ilvl w:val="1"/>
                <w:numId w:val="5"/>
              </w:numPr>
              <w:kinsoku/>
              <w:wordWrap/>
              <w:overflowPunct/>
              <w:topLinePunct w:val="0"/>
              <w:autoSpaceDE/>
              <w:autoSpaceDN/>
              <w:bidi w:val="0"/>
              <w:adjustRightInd/>
              <w:snapToGrid w:val="0"/>
              <w:spacing w:before="60" w:after="60" w:line="240" w:lineRule="auto"/>
              <w:ind w:left="4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 ACLR assumption</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Agreement:</w:t>
            </w:r>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31 dB is the agreed ACLR value.</w:t>
            </w:r>
          </w:p>
          <w:p>
            <w:pPr>
              <w:pStyle w:val="31"/>
              <w:keepLines w:val="0"/>
              <w:pageBreakBefore w:val="0"/>
              <w:kinsoku/>
              <w:wordWrap/>
              <w:overflowPunct/>
              <w:topLinePunct w:val="0"/>
              <w:autoSpaceDE/>
              <w:autoSpaceDN/>
              <w:bidi w:val="0"/>
              <w:adjustRightInd/>
              <w:snapToGrid w:val="0"/>
              <w:spacing w:before="60" w:after="60" w:line="240" w:lineRule="auto"/>
              <w:ind w:left="420" w:firstLine="0" w:firstLineChars="0"/>
              <w:textAlignment w:val="auto"/>
              <w:rPr>
                <w:rFonts w:hint="default" w:ascii="Times New Roman" w:hAnsi="Times New Roman" w:cs="Times New Roman"/>
                <w:sz w:val="20"/>
                <w:szCs w:val="20"/>
              </w:rPr>
            </w:pPr>
          </w:p>
          <w:p>
            <w:pPr>
              <w:pStyle w:val="3"/>
              <w:keepLines w:val="0"/>
              <w:pageBreakBefore w:val="0"/>
              <w:numPr>
                <w:ilvl w:val="1"/>
                <w:numId w:val="5"/>
              </w:numPr>
              <w:kinsoku/>
              <w:wordWrap/>
              <w:overflowPunct/>
              <w:topLinePunct w:val="0"/>
              <w:autoSpaceDE/>
              <w:autoSpaceDN/>
              <w:bidi w:val="0"/>
              <w:adjustRightInd/>
              <w:snapToGrid w:val="0"/>
              <w:spacing w:before="60" w:after="60" w:line="240" w:lineRule="auto"/>
              <w:ind w:left="400" w:leftChars="0" w:hanging="36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NS to be evaluated</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b/>
                <w:bCs/>
                <w:sz w:val="20"/>
                <w:szCs w:val="20"/>
              </w:rPr>
            </w:pPr>
            <w:r>
              <w:rPr>
                <w:rFonts w:hint="default" w:ascii="Times New Roman" w:hAnsi="Times New Roman" w:cs="Times New Roman" w:eastAsiaTheme="minorEastAsia"/>
                <w:b/>
                <w:bCs/>
                <w:sz w:val="20"/>
                <w:szCs w:val="20"/>
              </w:rPr>
              <w:t>Agreement:</w:t>
            </w:r>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Agree to evaluate PC1.5 A-MPR for NS_03, NS_05, NS_48, and NS_49.</w:t>
            </w:r>
          </w:p>
          <w:p>
            <w:pPr>
              <w:pStyle w:val="31"/>
              <w:keepLines w:val="0"/>
              <w:pageBreakBefore w:val="0"/>
              <w:numPr>
                <w:ilvl w:val="0"/>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Encourage companies to check if NS_03U, NS_05U, and NS_100 are needed.</w:t>
            </w:r>
          </w:p>
          <w:p>
            <w:pPr>
              <w:pStyle w:val="31"/>
              <w:keepLines w:val="0"/>
              <w:pageBreakBefore w:val="0"/>
              <w:numPr>
                <w:ilvl w:val="1"/>
                <w:numId w:val="4"/>
              </w:numPr>
              <w:kinsoku/>
              <w:wordWrap/>
              <w:overflowPunct/>
              <w:topLinePunct w:val="0"/>
              <w:autoSpaceDE/>
              <w:autoSpaceDN/>
              <w:bidi w:val="0"/>
              <w:adjustRightInd/>
              <w:snapToGrid w:val="0"/>
              <w:spacing w:before="60" w:after="60" w:line="240" w:lineRule="auto"/>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If needed, how to define UTRA ACLR for PC1.5</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p>
          <w:p>
            <w:pPr>
              <w:pStyle w:val="3"/>
              <w:keepLines w:val="0"/>
              <w:pageBreakBefore w:val="0"/>
              <w:numPr>
                <w:ilvl w:val="1"/>
                <w:numId w:val="5"/>
              </w:numPr>
              <w:kinsoku/>
              <w:wordWrap/>
              <w:overflowPunct/>
              <w:topLinePunct w:val="0"/>
              <w:autoSpaceDE/>
              <w:autoSpaceDN/>
              <w:bidi w:val="0"/>
              <w:adjustRightInd/>
              <w:snapToGrid w:val="0"/>
              <w:spacing w:before="60" w:after="60" w:line="240" w:lineRule="auto"/>
              <w:ind w:left="400" w:leftChars="0" w:hanging="360"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 REFSENS degradation</w:t>
            </w:r>
          </w:p>
          <w:p>
            <w:pPr>
              <w:keepLines w:val="0"/>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eastAsiaTheme="minorEastAsia"/>
                <w:sz w:val="20"/>
                <w:szCs w:val="20"/>
              </w:rPr>
            </w:pPr>
            <w:r>
              <w:rPr>
                <w:rFonts w:hint="default" w:ascii="Times New Roman" w:hAnsi="Times New Roman" w:cs="Times New Roman" w:eastAsiaTheme="minorEastAsia"/>
                <w:b/>
                <w:bCs/>
                <w:sz w:val="20"/>
                <w:szCs w:val="20"/>
              </w:rPr>
              <w:t xml:space="preserve">Agreement: </w:t>
            </w:r>
          </w:p>
          <w:p>
            <w:pPr>
              <w:pStyle w:val="31"/>
              <w:keepLines w:val="0"/>
              <w:pageBreakBefore w:val="0"/>
              <w:numPr>
                <w:ilvl w:val="0"/>
                <w:numId w:val="0"/>
              </w:numPr>
              <w:kinsoku/>
              <w:wordWrap/>
              <w:overflowPunct/>
              <w:topLinePunct w:val="0"/>
              <w:autoSpaceDE/>
              <w:autoSpaceDN/>
              <w:bidi w:val="0"/>
              <w:adjustRightInd/>
              <w:snapToGrid w:val="0"/>
              <w:spacing w:before="60" w:after="60" w:line="240" w:lineRule="auto"/>
              <w:ind w:left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Encourage companies to provide the</w:t>
            </w:r>
            <w:r>
              <w:rPr>
                <w:rFonts w:hint="default" w:ascii="Times New Roman" w:hAnsi="Times New Roman" w:eastAsia="Malgun Gothic" w:cs="Times New Roman"/>
                <w:sz w:val="20"/>
                <w:szCs w:val="20"/>
                <w:lang w:eastAsia="ko-KR"/>
              </w:rPr>
              <w:t xml:space="preserve"> general</w:t>
            </w:r>
            <w:r>
              <w:rPr>
                <w:rFonts w:hint="default" w:ascii="Times New Roman" w:hAnsi="Times New Roman" w:cs="Times New Roman"/>
                <w:sz w:val="20"/>
                <w:szCs w:val="20"/>
              </w:rPr>
              <w:t xml:space="preserve"> methodology for deriving the REFSENS degradation </w:t>
            </w:r>
            <w:r>
              <w:rPr>
                <w:rFonts w:hint="default" w:ascii="Times New Roman" w:hAnsi="Times New Roman" w:eastAsia="Malgun Gothic" w:cs="Times New Roman"/>
                <w:sz w:val="20"/>
                <w:szCs w:val="20"/>
                <w:lang w:eastAsia="ko-KR"/>
              </w:rPr>
              <w:t xml:space="preserve">(RSD) </w:t>
            </w:r>
            <w:r>
              <w:rPr>
                <w:rFonts w:hint="default" w:ascii="Times New Roman" w:hAnsi="Times New Roman" w:cs="Times New Roman"/>
                <w:sz w:val="20"/>
                <w:szCs w:val="20"/>
              </w:rPr>
              <w:t>in next meeting.</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In this contribution, we provided some of our considerations on the HPUE with 4x26dBm PA configuration and PC1.5 FDD HPUE with 2x26dBm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2.1 MOP for HPUE with 4x26dBm PA configuration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trike/>
          <w:dstrike w:val="0"/>
          <w:sz w:val="20"/>
          <w:szCs w:val="20"/>
          <w:highlight w:val="none"/>
          <w:lang w:val="en-US" w:eastAsia="zh-CN"/>
        </w:rPr>
      </w:pPr>
      <w:r>
        <w:rPr>
          <w:rFonts w:hint="eastAsia" w:eastAsia="宋体"/>
          <w:lang w:val="en-US" w:eastAsia="zh-CN"/>
        </w:rPr>
        <w:t xml:space="preserve">In the WID, 4Tx with 4x26dBm PA configuration has been confirmed for CPE/FWA UE TDD single carrier with the MOP up to 32dBm[2]. </w:t>
      </w:r>
      <w:r>
        <w:rPr>
          <w:rFonts w:hint="eastAsia" w:cs="Times New Roman"/>
          <w:b w:val="0"/>
          <w:bCs w:val="0"/>
          <w:i w:val="0"/>
          <w:iCs w:val="0"/>
          <w:sz w:val="20"/>
          <w:szCs w:val="20"/>
          <w:highlight w:val="none"/>
          <w:lang w:val="en-US" w:eastAsia="zh-CN"/>
        </w:rPr>
        <w:t>During the discussion in RAN#109 meeting, companies had very different views on the MOP of 4Tx CPE/FWA UE with 4x26dBm PA configuration and also the power class. Some companies proposed that it is possible to achieve 32dBm MOP with 4x26dBm PA configuration considering full PA power capabilities. Although higher maximum transmission power is beneficial, a new power class, maybe PC1bis, needs to be introduced to avoid conflict with current PC1 with 31dBm MOP.</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trike w:val="0"/>
          <w:dstrike w:val="0"/>
          <w:sz w:val="20"/>
          <w:szCs w:val="20"/>
          <w:highlight w:val="none"/>
          <w:lang w:val="en-US" w:eastAsia="zh-CN"/>
        </w:rPr>
        <w:t xml:space="preserve">For power class, </w:t>
      </w:r>
      <w:r>
        <w:rPr>
          <w:rFonts w:hint="eastAsia" w:cs="Times New Roman"/>
          <w:b w:val="0"/>
          <w:bCs w:val="0"/>
          <w:i w:val="0"/>
          <w:iCs w:val="0"/>
          <w:sz w:val="20"/>
          <w:szCs w:val="20"/>
          <w:highlight w:val="none"/>
          <w:lang w:val="en-US" w:eastAsia="zh-CN"/>
        </w:rPr>
        <w:t xml:space="preserve">there already exists 4Tx PC1 NTN HPUE with </w:t>
      </w:r>
      <w:r>
        <w:rPr>
          <w:rFonts w:hint="eastAsia" w:ascii="Times New Roman" w:hAnsi="Times New Roman" w:cs="Times New Roman"/>
          <w:b w:val="0"/>
          <w:bCs w:val="0"/>
          <w:i w:val="0"/>
          <w:iCs w:val="0"/>
          <w:sz w:val="20"/>
          <w:szCs w:val="20"/>
          <w:highlight w:val="none"/>
          <w:lang w:val="en-US" w:eastAsia="zh-CN"/>
        </w:rPr>
        <w:t>4x26dBm PA configuration</w:t>
      </w:r>
      <w:r>
        <w:rPr>
          <w:rFonts w:hint="eastAsia" w:cs="Times New Roman"/>
          <w:b w:val="0"/>
          <w:bCs w:val="0"/>
          <w:i w:val="0"/>
          <w:iCs w:val="0"/>
          <w:sz w:val="20"/>
          <w:szCs w:val="20"/>
          <w:highlight w:val="none"/>
          <w:lang w:val="en-US" w:eastAsia="zh-CN"/>
        </w:rPr>
        <w:t xml:space="preserve"> and 31dBm MOP in Rel-19. ACLR requirement for PC1 NTN PHUE was specified to 34dB as a final compromise, which is 3dB lower than 37dB ACLR requirement for PC1 TN UE. To avoid inconsistent between TN UE and NTN UE, reuse PC1 for 4Tx HPUE is a good choice.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Observation 1: 4Tx PC1 NTN HPUE has been introduced in Rel-19 and 34dB ACLR was specified.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Besides, an additional power class with different MOP will have impact on RAN2 specification. Currently in RAN2 specification </w:t>
      </w:r>
      <w:r>
        <w:rPr>
          <w:rFonts w:hint="eastAsia" w:cs="Times New Roman"/>
          <w:b w:val="0"/>
          <w:bCs w:val="0"/>
          <w:i/>
          <w:iCs/>
          <w:sz w:val="20"/>
          <w:szCs w:val="20"/>
          <w:highlight w:val="none"/>
          <w:lang w:val="en-US" w:eastAsia="zh-CN"/>
        </w:rPr>
        <w:t>P-Max</w:t>
      </w:r>
      <w:r>
        <w:rPr>
          <w:rFonts w:hint="eastAsia" w:cs="Times New Roman"/>
          <w:b w:val="0"/>
          <w:bCs w:val="0"/>
          <w:i w:val="0"/>
          <w:iCs w:val="0"/>
          <w:sz w:val="20"/>
          <w:szCs w:val="20"/>
          <w:highlight w:val="none"/>
          <w:lang w:val="en-US" w:eastAsia="zh-CN"/>
        </w:rPr>
        <w:t xml:space="preserve"> is up to 33dBm. If we define a new power class with 32dBm MOP, with widely recognized +2dB upper tolerance, then RAN2 needs to redefine </w:t>
      </w:r>
      <w:r>
        <w:rPr>
          <w:rFonts w:hint="eastAsia" w:cs="Times New Roman"/>
          <w:b w:val="0"/>
          <w:bCs w:val="0"/>
          <w:i/>
          <w:iCs/>
          <w:sz w:val="20"/>
          <w:szCs w:val="20"/>
          <w:highlight w:val="none"/>
          <w:lang w:val="en-US" w:eastAsia="zh-CN"/>
        </w:rPr>
        <w:t>P-Max</w:t>
      </w:r>
      <w:r>
        <w:rPr>
          <w:rFonts w:hint="eastAsia" w:cs="Times New Roman"/>
          <w:b w:val="0"/>
          <w:bCs w:val="0"/>
          <w:i w:val="0"/>
          <w:iCs w:val="0"/>
          <w:sz w:val="20"/>
          <w:szCs w:val="20"/>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yellow"/>
          <w:lang w:val="en-US" w:eastAsia="zh-CN"/>
        </w:rPr>
      </w:pPr>
      <w:r>
        <w:drawing>
          <wp:inline distT="0" distB="0" distL="114300" distR="114300">
            <wp:extent cx="5900420" cy="1281430"/>
            <wp:effectExtent l="112395" t="66040" r="113665" b="698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00420" cy="128143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2: A new power class with 32dBm maximum output power will impact current RAN2 specification.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MOP, as is well known, UE is not allowed to always transmit with MOP because of power backoff caused by ACLR, SEM, IBE, EVM requirements as well as network indication. UE PHR depends on P</w:t>
      </w:r>
      <w:r>
        <w:rPr>
          <w:rFonts w:hint="eastAsia" w:cs="Times New Roman"/>
          <w:b w:val="0"/>
          <w:bCs w:val="0"/>
          <w:i w:val="0"/>
          <w:iCs w:val="0"/>
          <w:sz w:val="20"/>
          <w:szCs w:val="20"/>
          <w:highlight w:val="none"/>
          <w:vertAlign w:val="subscript"/>
          <w:lang w:val="en-US" w:eastAsia="zh-CN"/>
        </w:rPr>
        <w:t>CMAX</w:t>
      </w:r>
      <w:r>
        <w:rPr>
          <w:rFonts w:hint="eastAsia" w:cs="Times New Roman"/>
          <w:b w:val="0"/>
          <w:bCs w:val="0"/>
          <w:i w:val="0"/>
          <w:iCs w:val="0"/>
          <w:sz w:val="20"/>
          <w:szCs w:val="20"/>
          <w:highlight w:val="none"/>
          <w:lang w:val="en-US" w:eastAsia="zh-CN"/>
        </w:rPr>
        <w:t xml:space="preserve"> defined in TS38.101-1/-2, where the configured maximum output power, P</w:t>
      </w:r>
      <w:r>
        <w:rPr>
          <w:rFonts w:hint="eastAsia" w:cs="Times New Roman"/>
          <w:b w:val="0"/>
          <w:bCs w:val="0"/>
          <w:i w:val="0"/>
          <w:iCs w:val="0"/>
          <w:sz w:val="20"/>
          <w:szCs w:val="20"/>
          <w:highlight w:val="none"/>
          <w:vertAlign w:val="subscript"/>
          <w:lang w:val="en-US" w:eastAsia="zh-CN"/>
        </w:rPr>
        <w:t>CMAX</w:t>
      </w:r>
      <w:r>
        <w:rPr>
          <w:rFonts w:hint="eastAsia" w:cs="Times New Roman"/>
          <w:b w:val="0"/>
          <w:bCs w:val="0"/>
          <w:i w:val="0"/>
          <w:iCs w:val="0"/>
          <w:sz w:val="20"/>
          <w:szCs w:val="20"/>
          <w:highlight w:val="none"/>
          <w:lang w:val="en-US" w:eastAsia="zh-CN"/>
        </w:rPr>
        <w:t>, is within a certain range. Then with reported P</w:t>
      </w:r>
      <w:r>
        <w:rPr>
          <w:rFonts w:hint="eastAsia" w:cs="Times New Roman"/>
          <w:b w:val="0"/>
          <w:bCs w:val="0"/>
          <w:i w:val="0"/>
          <w:iCs w:val="0"/>
          <w:sz w:val="20"/>
          <w:szCs w:val="20"/>
          <w:highlight w:val="none"/>
          <w:vertAlign w:val="subscript"/>
          <w:lang w:val="en-US" w:eastAsia="zh-CN"/>
        </w:rPr>
        <w:t>CMAX</w:t>
      </w:r>
      <w:r>
        <w:rPr>
          <w:rFonts w:hint="eastAsia" w:cs="Times New Roman"/>
          <w:b w:val="0"/>
          <w:bCs w:val="0"/>
          <w:i w:val="0"/>
          <w:iCs w:val="0"/>
          <w:sz w:val="20"/>
          <w:szCs w:val="20"/>
          <w:highlight w:val="none"/>
          <w:lang w:val="en-US" w:eastAsia="zh-CN"/>
        </w:rPr>
        <w:t>, NW will indicate transmitted power for UE. Moreover, with higher PA output power in each chain, more severe RIMD products can be foreseen for 4Tx with 4x26dBm PA configuration, which may further limit UE</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s output power. This phenomenon has be pointed out and tested in Skyworks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contribution on 4Tx NTN HPUE in Rel-19, where it was found that even under 34dB ACLR, 32dBm output power can not be achieved with same 4x26dBm PA configuration[3]. In this case, we hold a negative attitude towards whether 32dBm MOP is achievable.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Observation 3: </w:t>
      </w:r>
      <w:r>
        <w:rPr>
          <w:rFonts w:hint="eastAsia" w:cs="Times New Roman"/>
          <w:b/>
          <w:bCs/>
          <w:i w:val="0"/>
          <w:iCs w:val="0"/>
          <w:sz w:val="20"/>
          <w:szCs w:val="20"/>
          <w:highlight w:val="none"/>
          <w:lang w:val="en-US" w:eastAsia="zh-CN"/>
        </w:rPr>
        <w:t>UE is not allowed to always transmit with maximum output power because of power backoff and network configuration. 4Tx with 4x26dBm PA configuration will cause more serious reverse IMD compared to legacy UE, which may further limit UE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Overall, we prefer to define 4Tx CPE/FWA UE with 4x26dBm PA configuration as PC1</w:t>
      </w:r>
      <w:r>
        <w:rPr>
          <w:rFonts w:hint="eastAsia" w:cs="Times New Roman"/>
          <w:b w:val="0"/>
          <w:bCs w:val="0"/>
          <w:i w:val="0"/>
          <w:iCs w:val="0"/>
          <w:sz w:val="20"/>
          <w:szCs w:val="20"/>
          <w:highlight w:val="none"/>
          <w:lang w:val="en-US" w:eastAsia="zh-CN"/>
        </w:rPr>
        <w:t xml:space="preserve"> UE, but we understand that additional 1dB is beneficial for UL coverage. If 32dBm output power is feasible, RAN4 can further study how to deal with this potential 1dB more output power than PC1 and how to reflect it in other aspects rather than MOP and tolerance, such as power boosting or something else.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 Define 4Tx CPE/FWA UE with 4x26dBm PA configuration as PC1 UE with 31dB maximum output power and +2/-3dB tolerance.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 If 32dBm output power is feasible, treat the potential 1dB more output power than PC1 as power boosting.</w:t>
      </w: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eastAsia" w:ascii="Arial" w:hAnsi="Arial" w:cs="Arial"/>
          <w:b/>
          <w:bCs/>
          <w:i w:val="0"/>
          <w:iCs w:val="0"/>
          <w:sz w:val="22"/>
          <w:szCs w:val="22"/>
          <w:highlight w:val="none"/>
          <w:u w:val="none"/>
          <w:lang w:val="en-US" w:eastAsia="zh-CN"/>
        </w:rPr>
        <w:t xml:space="preserve">2.2 UL MIMO and Tx Diversity for </w:t>
      </w:r>
      <w:r>
        <w:rPr>
          <w:rFonts w:hint="default" w:ascii="Arial" w:hAnsi="Arial" w:cs="Arial"/>
          <w:b/>
          <w:bCs/>
          <w:i w:val="0"/>
          <w:iCs w:val="0"/>
          <w:sz w:val="22"/>
          <w:szCs w:val="22"/>
          <w:highlight w:val="none"/>
          <w:u w:val="none"/>
          <w:lang w:val="en-US" w:eastAsia="zh-CN"/>
        </w:rPr>
        <w:t>4Tx CPE/FWA</w:t>
      </w:r>
      <w:r>
        <w:rPr>
          <w:rFonts w:hint="eastAsia" w:ascii="Arial" w:hAnsi="Arial" w:cs="Arial"/>
          <w:b/>
          <w:bCs/>
          <w:i w:val="0"/>
          <w:iCs w:val="0"/>
          <w:sz w:val="22"/>
          <w:szCs w:val="22"/>
          <w:highlight w:val="none"/>
          <w:u w:val="none"/>
          <w:lang w:val="en-US" w:eastAsia="zh-CN"/>
        </w:rPr>
        <w:t xml:space="preserve">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It has been confirmed in the objectives that</w:t>
      </w:r>
      <w:r>
        <w:rPr>
          <w:rFonts w:hint="eastAsia" w:eastAsia="宋体" w:cs="Times New Roman"/>
          <w:sz w:val="20"/>
          <w:szCs w:val="20"/>
          <w:lang w:val="en-US" w:eastAsia="zh-CN"/>
        </w:rPr>
        <w:t xml:space="preserve"> both 4x4 </w:t>
      </w:r>
      <w:r>
        <w:rPr>
          <w:rFonts w:hint="eastAsia" w:ascii="Times New Roman" w:hAnsi="Times New Roman" w:eastAsia="宋体" w:cs="Times New Roman"/>
          <w:sz w:val="20"/>
          <w:szCs w:val="20"/>
          <w:lang w:val="en-US" w:eastAsia="zh-CN"/>
        </w:rPr>
        <w:t>UL MIMO and Tx</w:t>
      </w:r>
      <w:r>
        <w:rPr>
          <w:rFonts w:hint="eastAsia" w:eastAsia="宋体" w:cs="Times New Roman"/>
          <w:sz w:val="20"/>
          <w:szCs w:val="20"/>
          <w:lang w:val="en-US" w:eastAsia="zh-CN"/>
        </w:rPr>
        <w:t xml:space="preserve"> Diversity</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are</w:t>
      </w:r>
      <w:r>
        <w:rPr>
          <w:rFonts w:hint="eastAsia" w:ascii="Times New Roman" w:hAnsi="Times New Roman" w:eastAsia="宋体" w:cs="Times New Roman"/>
          <w:sz w:val="20"/>
          <w:szCs w:val="20"/>
          <w:lang w:val="en-US" w:eastAsia="zh-CN"/>
        </w:rPr>
        <w:t xml:space="preserve"> supported</w:t>
      </w:r>
      <w:r>
        <w:rPr>
          <w:rFonts w:hint="eastAsia" w:eastAsia="宋体" w:cs="Times New Roman"/>
          <w:sz w:val="20"/>
          <w:szCs w:val="20"/>
          <w:lang w:val="en-US" w:eastAsia="zh-CN"/>
        </w:rPr>
        <w:t xml:space="preserve"> for</w:t>
      </w:r>
      <w:r>
        <w:rPr>
          <w:rFonts w:hint="eastAsia" w:eastAsia="宋体"/>
          <w:lang w:val="en-US" w:eastAsia="zh-CN"/>
        </w:rPr>
        <w:t xml:space="preserve"> the maximum output power up to 32dBm operating in example bands n41, n77/n78, n79, n104</w:t>
      </w:r>
      <w:r>
        <w:rPr>
          <w:rFonts w:hint="eastAsia" w:ascii="Times New Roman" w:hAnsi="Times New Roman" w:eastAsia="宋体" w:cs="Times New Roman"/>
          <w:sz w:val="20"/>
          <w:szCs w:val="20"/>
          <w:lang w:val="en-US" w:eastAsia="zh-CN"/>
        </w:rPr>
        <w:t>.</w:t>
      </w:r>
      <w:r>
        <w:rPr>
          <w:rFonts w:hint="eastAsia" w:eastAsia="宋体" w:cs="Times New Roman"/>
          <w:sz w:val="20"/>
          <w:szCs w:val="20"/>
          <w:lang w:val="en-US" w:eastAsia="zh-CN"/>
        </w:rPr>
        <w:t xml:space="preserve"> </w:t>
      </w:r>
      <w:r>
        <w:rPr>
          <w:rFonts w:hint="eastAsia" w:eastAsia="宋体" w:cs="Times New Roman"/>
          <w:lang w:val="en-US" w:eastAsia="zh-CN"/>
        </w:rPr>
        <w:t>T</w:t>
      </w:r>
      <w:r>
        <w:rPr>
          <w:rFonts w:hint="default" w:ascii="Times New Roman" w:hAnsi="Times New Roman" w:eastAsia="宋体" w:cs="Times New Roman"/>
          <w:lang w:val="en-US" w:eastAsia="zh-CN"/>
        </w:rPr>
        <w:t xml:space="preserve">he </w:t>
      </w:r>
      <w:r>
        <w:rPr>
          <w:rFonts w:hint="eastAsia" w:eastAsia="宋体" w:cs="Times New Roman"/>
          <w:lang w:val="en-US" w:eastAsia="zh-CN"/>
        </w:rPr>
        <w:t xml:space="preserve">Tx </w:t>
      </w:r>
      <w:r>
        <w:rPr>
          <w:rFonts w:hint="default" w:ascii="Times New Roman" w:hAnsi="Times New Roman" w:eastAsia="宋体" w:cs="Times New Roman"/>
          <w:lang w:val="en-US" w:eastAsia="zh-CN"/>
        </w:rPr>
        <w:t>RF requirements related to UL MIMO</w:t>
      </w:r>
      <w:r>
        <w:rPr>
          <w:rFonts w:hint="eastAsia" w:eastAsia="宋体" w:cs="Times New Roman"/>
          <w:lang w:val="en-US" w:eastAsia="zh-CN"/>
        </w:rPr>
        <w:t xml:space="preserve"> and Tx Diversity with</w:t>
      </w:r>
      <w:r>
        <w:rPr>
          <w:rFonts w:hint="eastAsia" w:ascii="Times New Roman" w:hAnsi="Times New Roman" w:eastAsia="宋体" w:cs="Times New Roman"/>
          <w:lang w:val="en-US" w:eastAsia="zh-CN"/>
        </w:rPr>
        <w:t xml:space="preserve"> </w:t>
      </w:r>
      <w:r>
        <w:rPr>
          <w:rFonts w:hint="eastAsia" w:eastAsia="宋体" w:cs="Times New Roman"/>
          <w:lang w:val="en-US" w:eastAsia="zh-CN"/>
        </w:rPr>
        <w:t>multiple</w:t>
      </w:r>
      <w:r>
        <w:rPr>
          <w:rFonts w:hint="eastAsia" w:ascii="Times New Roman" w:hAnsi="Times New Roman" w:eastAsia="宋体" w:cs="Times New Roman"/>
          <w:lang w:val="en-US" w:eastAsia="zh-CN"/>
        </w:rPr>
        <w:t xml:space="preserve"> transmit antenna connectors</w:t>
      </w:r>
      <w:r>
        <w:rPr>
          <w:rFonts w:hint="eastAsia" w:eastAsia="宋体" w:cs="Times New Roman"/>
          <w:lang w:val="en-US" w:eastAsia="zh-CN"/>
        </w:rPr>
        <w:t xml:space="preserve"> up to a maximum of four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in TS38.101-1</w:t>
      </w:r>
      <w:r>
        <w:rPr>
          <w:rFonts w:hint="eastAsia" w:eastAsia="宋体" w:cs="Times New Roman"/>
          <w:lang w:val="en-US" w:eastAsia="zh-CN"/>
        </w:rPr>
        <w:t xml:space="preserve"> are summarized in Table 1</w:t>
      </w:r>
      <w:r>
        <w:rPr>
          <w:rFonts w:hint="default" w:ascii="Times New Roman" w:hAnsi="Times New Roman" w:eastAsia="宋体" w:cs="Times New Roman"/>
          <w:lang w:val="en-US" w:eastAsia="zh-CN"/>
        </w:rPr>
        <w:t xml:space="preserve">, where some of the requirements </w:t>
      </w:r>
      <w:r>
        <w:rPr>
          <w:rFonts w:hint="eastAsia" w:ascii="Times New Roman" w:hAnsi="Times New Roman" w:eastAsia="宋体" w:cs="Times New Roman"/>
          <w:lang w:val="en-US" w:eastAsia="zh-CN"/>
        </w:rPr>
        <w:t xml:space="preserve">apply to </w:t>
      </w:r>
      <w:r>
        <w:t>the sum from all UE transmit antenna connector</w:t>
      </w:r>
      <w:r>
        <w:rPr>
          <w:rFonts w:hint="eastAsia"/>
          <w:lang w:eastAsia="zh-CN"/>
        </w:rPr>
        <w:t>s</w:t>
      </w:r>
      <w:r>
        <w:rPr>
          <w:rFonts w:hint="default" w:ascii="Times New Roman" w:hAnsi="Times New Roman" w:eastAsia="宋体" w:cs="Times New Roman"/>
          <w:lang w:val="en-US" w:eastAsia="zh-CN"/>
        </w:rPr>
        <w:t xml:space="preserve"> </w:t>
      </w:r>
      <w:r>
        <w:rPr>
          <w:rFonts w:hint="eastAsia" w:eastAsia="宋体" w:cs="Times New Roman"/>
          <w:lang w:val="en-US" w:eastAsia="zh-CN"/>
        </w:rPr>
        <w:t>while</w:t>
      </w:r>
      <w:r>
        <w:rPr>
          <w:rFonts w:hint="default" w:ascii="Times New Roman" w:hAnsi="Times New Roman" w:eastAsia="宋体" w:cs="Times New Roman"/>
          <w:lang w:val="en-US" w:eastAsia="zh-CN"/>
        </w:rPr>
        <w:t xml:space="preserve"> other</w:t>
      </w:r>
      <w:r>
        <w:rPr>
          <w:rFonts w:hint="eastAsia" w:eastAsia="宋体" w:cs="Times New Roman"/>
          <w:lang w:val="en-US" w:eastAsia="zh-CN"/>
        </w:rPr>
        <w:t>s</w:t>
      </w:r>
      <w:r>
        <w:rPr>
          <w:rFonts w:hint="default" w:ascii="Times New Roman" w:hAnsi="Times New Roman" w:eastAsia="宋体" w:cs="Times New Roman"/>
          <w:lang w:val="en-US" w:eastAsia="zh-CN"/>
        </w:rPr>
        <w:t xml:space="preserve"> </w:t>
      </w:r>
      <w:r>
        <w:rPr>
          <w:rFonts w:hint="eastAsia" w:eastAsia="宋体" w:cs="Times New Roman"/>
          <w:lang w:val="en-US" w:eastAsia="zh-CN"/>
        </w:rPr>
        <w:t>are not.</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Table 1  </w:t>
      </w:r>
      <w:r>
        <w:rPr>
          <w:rFonts w:hint="eastAsia" w:eastAsia="宋体" w:cs="Times New Roman"/>
          <w:b/>
          <w:bCs/>
          <w:sz w:val="20"/>
          <w:szCs w:val="20"/>
          <w:lang w:val="en-US" w:eastAsia="zh-CN"/>
        </w:rPr>
        <w:t xml:space="preserve">Tx </w:t>
      </w:r>
      <w:r>
        <w:rPr>
          <w:rFonts w:hint="eastAsia" w:ascii="Times New Roman" w:hAnsi="Times New Roman" w:eastAsia="宋体" w:cs="Times New Roman"/>
          <w:b/>
          <w:bCs/>
          <w:sz w:val="20"/>
          <w:szCs w:val="20"/>
          <w:lang w:val="en-US" w:eastAsia="zh-CN"/>
        </w:rPr>
        <w:t>RF requirement</w:t>
      </w:r>
      <w:r>
        <w:rPr>
          <w:rFonts w:hint="eastAsia" w:eastAsia="宋体" w:cs="Times New Roman"/>
          <w:b/>
          <w:bCs/>
          <w:sz w:val="20"/>
          <w:szCs w:val="20"/>
          <w:lang w:val="en-US" w:eastAsia="zh-CN"/>
        </w:rPr>
        <w:t>s for UL MIMO and Tx Diversity</w:t>
      </w:r>
      <w:r>
        <w:rPr>
          <w:rFonts w:hint="eastAsia" w:ascii="Times New Roman" w:hAnsi="Times New Roman" w:eastAsia="宋体" w:cs="Times New Roman"/>
          <w:b/>
          <w:bCs/>
          <w:sz w:val="20"/>
          <w:szCs w:val="20"/>
          <w:lang w:val="en-US" w:eastAsia="zh-CN"/>
        </w:rPr>
        <w:t xml:space="preserve"> in TS38.101-1</w:t>
      </w:r>
    </w:p>
    <w:tbl>
      <w:tblPr>
        <w:tblStyle w:val="19"/>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2623"/>
        <w:gridCol w:w="2374"/>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3" w:type="dxa"/>
            <w:gridSpan w:val="2"/>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color w:val="auto"/>
                <w:sz w:val="20"/>
                <w:szCs w:val="20"/>
                <w:lang w:val="en-US" w:eastAsia="zh-CN"/>
              </w:rPr>
            </w:pPr>
            <w:r>
              <w:rPr>
                <w:rFonts w:hint="eastAsia" w:eastAsia="宋体" w:cs="Times New Roman"/>
                <w:b/>
                <w:bCs/>
                <w:color w:val="auto"/>
                <w:sz w:val="20"/>
                <w:szCs w:val="20"/>
                <w:lang w:val="en-US" w:eastAsia="zh-CN"/>
              </w:rPr>
              <w:t xml:space="preserve">Tx </w:t>
            </w:r>
            <w:r>
              <w:rPr>
                <w:rFonts w:hint="eastAsia" w:ascii="Times New Roman" w:hAnsi="Times New Roman" w:eastAsia="宋体" w:cs="Times New Roman"/>
                <w:b/>
                <w:bCs/>
                <w:color w:val="auto"/>
                <w:sz w:val="20"/>
                <w:szCs w:val="20"/>
                <w:lang w:val="en-US" w:eastAsia="zh-CN"/>
              </w:rPr>
              <w:t>RF requirements</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sz w:val="20"/>
                <w:szCs w:val="20"/>
                <w:lang w:val="en-US" w:eastAsia="zh-CN"/>
              </w:rPr>
            </w:pPr>
            <w:r>
              <w:rPr>
                <w:rFonts w:hint="eastAsia" w:eastAsia="宋体" w:cs="Times New Roman"/>
                <w:b/>
                <w:bCs/>
                <w:sz w:val="20"/>
                <w:szCs w:val="20"/>
                <w:lang w:val="en-US" w:eastAsia="zh-CN"/>
              </w:rPr>
              <w:t>For UL MIMO</w:t>
            </w:r>
          </w:p>
        </w:tc>
        <w:tc>
          <w:tcPr>
            <w:tcW w:w="2446"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sz w:val="20"/>
                <w:szCs w:val="20"/>
                <w:lang w:val="en-US" w:eastAsia="zh-CN"/>
              </w:rPr>
            </w:pPr>
            <w:r>
              <w:rPr>
                <w:rFonts w:hint="eastAsia" w:eastAsia="宋体" w:cs="Times New Roman"/>
                <w:b/>
                <w:bCs/>
                <w:sz w:val="20"/>
                <w:szCs w:val="20"/>
                <w:lang w:val="en-US" w:eastAsia="zh-CN"/>
              </w:rPr>
              <w:t>For Tx Diversity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2070"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6.2D/G Transmit power for UL MIMO/Tx Diversity</w:t>
            </w:r>
          </w:p>
        </w:tc>
        <w:tc>
          <w:tcPr>
            <w:tcW w:w="2623"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cs="Times New Roman"/>
                <w:color w:val="auto"/>
                <w:sz w:val="20"/>
                <w:szCs w:val="20"/>
                <w:lang w:val="en-US" w:eastAsia="zh-CN"/>
              </w:rPr>
            </w:pP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UE maximum output power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cs="Times New Roman"/>
                <w:color w:val="auto"/>
                <w:sz w:val="20"/>
                <w:szCs w:val="20"/>
                <w:lang w:val="en-US" w:eastAsia="zh-CN"/>
              </w:rPr>
            </w:pP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MPR/A-MPR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highlight w:val="none"/>
                <w:lang w:val="en-US" w:eastAsia="zh-CN"/>
              </w:rPr>
              <w:t xml:space="preserve">- </w:t>
            </w:r>
            <w:r>
              <w:rPr>
                <w:rFonts w:hint="default" w:ascii="Times New Roman" w:hAnsi="Times New Roman" w:cs="Times New Roman"/>
                <w:color w:val="auto"/>
                <w:sz w:val="20"/>
                <w:szCs w:val="20"/>
                <w:highlight w:val="none"/>
              </w:rPr>
              <w:t>Configured transmitted power</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ascii="Times New Roman" w:hAnsi="Times New Roman" w:eastAsia="宋体" w:cs="Times New Roman"/>
                <w:sz w:val="20"/>
                <w:szCs w:val="20"/>
                <w:lang w:val="en-US" w:eastAsia="zh-CN"/>
              </w:rPr>
            </w:pPr>
            <w:r>
              <w:rPr>
                <w:rFonts w:hint="eastAsia" w:eastAsia="宋体"/>
                <w:lang w:val="en-US" w:eastAsia="zh-CN"/>
              </w:rPr>
              <w:t>A</w:t>
            </w:r>
            <w:r>
              <w:t xml:space="preserve">pply to the sum </w:t>
            </w:r>
            <w:r>
              <w:rPr>
                <w:rFonts w:hint="eastAsia" w:eastAsia="宋体"/>
                <w:lang w:val="en-US" w:eastAsia="zh-CN"/>
              </w:rPr>
              <w:t xml:space="preserve">of the mean power </w:t>
            </w:r>
            <w:r>
              <w:t>from all UE transmit antenna connector</w:t>
            </w:r>
            <w:r>
              <w:rPr>
                <w:rFonts w:hint="eastAsia"/>
                <w:lang w:eastAsia="zh-CN"/>
              </w:rPr>
              <w:t>s</w:t>
            </w:r>
            <w:r>
              <w:rPr>
                <w:rFonts w:hint="eastAsia"/>
                <w:lang w:val="en-US" w:eastAsia="zh-CN"/>
              </w:rPr>
              <w:t>, and is related to UE power class</w:t>
            </w:r>
          </w:p>
        </w:tc>
        <w:tc>
          <w:tcPr>
            <w:tcW w:w="2446"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eastAsia" w:eastAsia="宋体"/>
                <w:lang w:val="en-US" w:eastAsia="zh-CN"/>
              </w:rPr>
            </w:pPr>
            <w:r>
              <w:rPr>
                <w:rFonts w:hint="eastAsia" w:eastAsia="宋体"/>
                <w:lang w:val="en-US" w:eastAsia="zh-CN"/>
              </w:rPr>
              <w:t>A</w:t>
            </w:r>
            <w:r>
              <w:t xml:space="preserve">pply to the sum </w:t>
            </w:r>
            <w:r>
              <w:rPr>
                <w:rFonts w:hint="eastAsia" w:eastAsia="宋体"/>
                <w:lang w:val="en-US" w:eastAsia="zh-CN"/>
              </w:rPr>
              <w:t xml:space="preserve">of the mean power </w:t>
            </w:r>
            <w:r>
              <w:t>from all UE transmit antenna connector</w:t>
            </w:r>
            <w:r>
              <w:rPr>
                <w:rFonts w:hint="eastAsia"/>
                <w:lang w:eastAsia="zh-CN"/>
              </w:rPr>
              <w:t>s</w:t>
            </w:r>
            <w:r>
              <w:rPr>
                <w:rFonts w:hint="eastAsia"/>
                <w:lang w:val="en-US" w:eastAsia="zh-CN"/>
              </w:rPr>
              <w:t>, and is related to UE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2070" w:type="dxa"/>
            <w:vMerge w:val="restart"/>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eastAsia" w:eastAsia="宋体" w:cs="Times New Roman"/>
                <w:color w:val="auto"/>
                <w:sz w:val="20"/>
                <w:szCs w:val="20"/>
                <w:highlight w:val="none"/>
                <w:lang w:val="en-US" w:eastAsia="zh-CN"/>
              </w:rPr>
            </w:pPr>
            <w:r>
              <w:rPr>
                <w:rFonts w:hint="eastAsia" w:cs="Times New Roman"/>
                <w:color w:val="auto"/>
                <w:kern w:val="2"/>
                <w:sz w:val="20"/>
                <w:szCs w:val="20"/>
                <w:lang w:val="en-US" w:eastAsia="zh-CN" w:bidi="ar"/>
              </w:rPr>
              <w:t>6.3D/G Output power dynamic</w:t>
            </w:r>
            <w:r>
              <w:rPr>
                <w:rFonts w:hint="eastAsia" w:eastAsia="宋体" w:cs="Times New Roman"/>
                <w:color w:val="auto"/>
                <w:sz w:val="20"/>
                <w:szCs w:val="20"/>
                <w:highlight w:val="none"/>
                <w:lang w:val="en-US" w:eastAsia="zh-CN"/>
              </w:rPr>
              <w:t xml:space="preserve"> for UL MIMO/Tx Diversity</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eastAsia" w:eastAsia="宋体" w:cs="Times New Roman"/>
                <w:color w:val="auto"/>
                <w:sz w:val="20"/>
                <w:szCs w:val="20"/>
                <w:highlight w:val="none"/>
                <w:lang w:val="en-US" w:eastAsia="zh-CN"/>
              </w:rPr>
            </w:pPr>
            <w:r>
              <w:rPr>
                <w:rFonts w:hint="eastAsia" w:cs="Times New Roman"/>
                <w:color w:val="auto"/>
                <w:kern w:val="2"/>
                <w:sz w:val="20"/>
                <w:szCs w:val="20"/>
                <w:lang w:val="en-US" w:eastAsia="zh-CN" w:bidi="ar"/>
              </w:rPr>
              <w:t>6.4D/G Transmit signal quality</w:t>
            </w:r>
            <w:r>
              <w:rPr>
                <w:rFonts w:hint="eastAsia" w:eastAsia="宋体" w:cs="Times New Roman"/>
                <w:color w:val="auto"/>
                <w:sz w:val="20"/>
                <w:szCs w:val="20"/>
                <w:highlight w:val="none"/>
                <w:lang w:val="en-US" w:eastAsia="zh-CN"/>
              </w:rPr>
              <w:t xml:space="preserve"> for UL MIMO/Tx Diversity</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cs="Times New Roman"/>
                <w:color w:val="auto"/>
                <w:kern w:val="2"/>
                <w:sz w:val="20"/>
                <w:szCs w:val="20"/>
                <w:lang w:val="en-US" w:eastAsia="zh-CN" w:bidi="ar"/>
              </w:rPr>
            </w:pPr>
            <w:r>
              <w:rPr>
                <w:rFonts w:hint="eastAsia" w:cs="Times New Roman"/>
                <w:color w:val="auto"/>
                <w:kern w:val="2"/>
                <w:sz w:val="20"/>
                <w:szCs w:val="20"/>
                <w:lang w:val="en-US" w:eastAsia="zh-CN" w:bidi="ar"/>
              </w:rPr>
              <w:t>6.5D/G Output RF spectrum emissions</w:t>
            </w:r>
            <w:r>
              <w:rPr>
                <w:rFonts w:hint="eastAsia" w:eastAsia="宋体" w:cs="Times New Roman"/>
                <w:color w:val="auto"/>
                <w:sz w:val="20"/>
                <w:szCs w:val="20"/>
                <w:highlight w:val="none"/>
                <w:lang w:val="en-US" w:eastAsia="zh-CN"/>
              </w:rPr>
              <w:t xml:space="preserve"> for UL MIMO/Tx Diversity</w:t>
            </w:r>
          </w:p>
        </w:tc>
        <w:tc>
          <w:tcPr>
            <w:tcW w:w="2623"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kern w:val="2"/>
                <w:sz w:val="20"/>
                <w:szCs w:val="20"/>
                <w:lang w:val="en-US" w:eastAsia="zh-CN" w:bidi="ar"/>
              </w:rPr>
              <w:t xml:space="preserve">- </w:t>
            </w:r>
            <w:r>
              <w:rPr>
                <w:rFonts w:ascii="Times New Roman" w:hAnsi="Times New Roman" w:eastAsia="宋体" w:cs="Times New Roman"/>
                <w:color w:val="auto"/>
                <w:kern w:val="2"/>
                <w:sz w:val="20"/>
                <w:szCs w:val="20"/>
                <w:lang w:val="en-US" w:eastAsia="zh-CN" w:bidi="ar"/>
              </w:rPr>
              <w:t>Minimum output power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kern w:val="2"/>
                <w:sz w:val="20"/>
                <w:szCs w:val="20"/>
                <w:lang w:val="en-US" w:eastAsia="zh-CN" w:bidi="ar"/>
              </w:rPr>
              <w:t>- Power control</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 Occupied bandwidth</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Out of band emission</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cs="Times New Roman"/>
                <w:color w:val="auto"/>
                <w:kern w:val="2"/>
                <w:sz w:val="20"/>
                <w:szCs w:val="20"/>
                <w:lang w:val="en-US" w:eastAsia="zh-CN" w:bidi="ar"/>
              </w:rPr>
            </w:pPr>
            <w:r>
              <w:rPr>
                <w:rFonts w:hint="eastAsia" w:cs="Times New Roman"/>
                <w:color w:val="auto"/>
                <w:kern w:val="2"/>
                <w:sz w:val="20"/>
                <w:szCs w:val="20"/>
                <w:lang w:val="en-US" w:eastAsia="zh-CN" w:bidi="ar"/>
              </w:rPr>
              <w:t xml:space="preserve">- </w:t>
            </w:r>
            <w:r>
              <w:rPr>
                <w:rFonts w:hint="default" w:ascii="Times New Roman" w:hAnsi="Times New Roman" w:cs="Times New Roman"/>
                <w:color w:val="auto"/>
                <w:kern w:val="2"/>
                <w:sz w:val="20"/>
                <w:szCs w:val="20"/>
                <w:lang w:val="en-US" w:eastAsia="zh-CN" w:bidi="ar"/>
              </w:rPr>
              <w:t>S</w:t>
            </w:r>
            <w:r>
              <w:rPr>
                <w:rFonts w:hint="eastAsia" w:cs="Times New Roman"/>
                <w:color w:val="auto"/>
                <w:kern w:val="2"/>
                <w:sz w:val="20"/>
                <w:szCs w:val="20"/>
                <w:lang w:val="en-US" w:eastAsia="zh-CN" w:bidi="ar"/>
              </w:rPr>
              <w:t>purious emissions</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eastAsia="宋体"/>
                <w:lang w:val="en-US" w:eastAsia="zh-CN"/>
              </w:rPr>
            </w:pPr>
            <w:r>
              <w:rPr>
                <w:rFonts w:hint="eastAsia" w:eastAsia="宋体"/>
                <w:lang w:val="en-US" w:eastAsia="zh-CN"/>
              </w:rPr>
              <w:t>A</w:t>
            </w:r>
            <w:r>
              <w:t xml:space="preserve">pply to the sum </w:t>
            </w:r>
            <w:r>
              <w:rPr>
                <w:rFonts w:hint="eastAsia" w:eastAsia="宋体"/>
                <w:lang w:val="en-US" w:eastAsia="zh-CN"/>
              </w:rPr>
              <w:t>of the mean power</w:t>
            </w:r>
            <w:r>
              <w:t xml:space="preserve"> from all UE transmit antenna connector</w:t>
            </w:r>
            <w:r>
              <w:rPr>
                <w:rFonts w:hint="eastAsia"/>
                <w:lang w:eastAsia="zh-CN"/>
              </w:rPr>
              <w:t>s</w:t>
            </w:r>
            <w:r>
              <w:rPr>
                <w:rFonts w:hint="eastAsia"/>
                <w:lang w:val="en-US" w:eastAsia="zh-CN"/>
              </w:rPr>
              <w:t xml:space="preserve">, and is UE power class agnostic </w:t>
            </w:r>
          </w:p>
        </w:tc>
        <w:tc>
          <w:tcPr>
            <w:tcW w:w="2446"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eastAsia" w:eastAsia="宋体"/>
                <w:lang w:val="en-US" w:eastAsia="zh-CN"/>
              </w:rPr>
            </w:pPr>
            <w:r>
              <w:rPr>
                <w:rFonts w:hint="eastAsia" w:eastAsia="宋体"/>
                <w:lang w:val="en-US" w:eastAsia="zh-CN"/>
              </w:rPr>
              <w:t>A</w:t>
            </w:r>
            <w:r>
              <w:t xml:space="preserve">pply to the sum </w:t>
            </w:r>
            <w:r>
              <w:rPr>
                <w:rFonts w:hint="eastAsia" w:eastAsia="宋体"/>
                <w:lang w:val="en-US" w:eastAsia="zh-CN"/>
              </w:rPr>
              <w:t>of the mean power</w:t>
            </w:r>
            <w:r>
              <w:t xml:space="preserve"> from all UE transmit antenna connector</w:t>
            </w:r>
            <w:r>
              <w:rPr>
                <w:rFonts w:hint="eastAsia"/>
                <w:lang w:eastAsia="zh-CN"/>
              </w:rPr>
              <w:t>s</w:t>
            </w:r>
            <w:r>
              <w:rPr>
                <w:rFonts w:hint="eastAsia"/>
                <w:lang w:val="en-US" w:eastAsia="zh-CN"/>
              </w:rPr>
              <w:t xml:space="preserve">, and is UE power class agnostic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2070" w:type="dxa"/>
            <w:vMerge w:val="continue"/>
            <w:vAlign w:val="center"/>
          </w:tcPr>
          <w:p>
            <w:pPr>
              <w:keepNext/>
              <w:keepLines/>
              <w:pageBreakBefore w:val="0"/>
              <w:widowControl/>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eastAsia="宋体" w:cs="Times New Roman"/>
                <w:color w:val="auto"/>
                <w:kern w:val="2"/>
                <w:sz w:val="20"/>
                <w:szCs w:val="20"/>
                <w:highlight w:val="none"/>
                <w:lang w:val="en-US" w:eastAsia="zh-CN" w:bidi="ar"/>
              </w:rPr>
            </w:pPr>
          </w:p>
        </w:tc>
        <w:tc>
          <w:tcPr>
            <w:tcW w:w="2623"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xml:space="preserve">- </w:t>
            </w:r>
            <w:r>
              <w:rPr>
                <w:rFonts w:ascii="Times New Roman" w:hAnsi="Times New Roman" w:eastAsia="宋体" w:cs="Times New Roman"/>
                <w:color w:val="auto"/>
                <w:kern w:val="2"/>
                <w:sz w:val="20"/>
                <w:szCs w:val="20"/>
                <w:highlight w:val="none"/>
                <w:lang w:val="en-US" w:eastAsia="zh-CN" w:bidi="ar"/>
              </w:rPr>
              <w:t>Transmit OFF power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xml:space="preserve">- </w:t>
            </w:r>
            <w:r>
              <w:rPr>
                <w:rFonts w:hint="default" w:ascii="Times New Roman" w:hAnsi="Times New Roman" w:eastAsia="宋体" w:cs="Times New Roman"/>
                <w:color w:val="auto"/>
                <w:kern w:val="2"/>
                <w:sz w:val="20"/>
                <w:szCs w:val="20"/>
                <w:highlight w:val="none"/>
                <w:lang w:val="en-US" w:eastAsia="zh-CN" w:bidi="ar"/>
              </w:rPr>
              <w:t>T</w:t>
            </w:r>
            <w:r>
              <w:rPr>
                <w:rFonts w:ascii="Times New Roman" w:hAnsi="Times New Roman" w:eastAsia="宋体" w:cs="Times New Roman"/>
                <w:color w:val="auto"/>
                <w:kern w:val="2"/>
                <w:sz w:val="20"/>
                <w:szCs w:val="20"/>
                <w:highlight w:val="none"/>
                <w:lang w:val="en-US" w:eastAsia="zh-CN" w:bidi="ar"/>
              </w:rPr>
              <w:t>ransmit ON/OFF time mask</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In-band emissions</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color w:val="auto"/>
                <w:kern w:val="2"/>
                <w:sz w:val="20"/>
                <w:szCs w:val="20"/>
                <w:highlight w:val="none"/>
                <w:lang w:val="en-US" w:eastAsia="zh-CN" w:bidi="ar"/>
              </w:rPr>
              <w:t xml:space="preserve">- </w:t>
            </w:r>
            <w:r>
              <w:rPr>
                <w:rFonts w:hint="default" w:ascii="Times New Roman" w:hAnsi="Times New Roman" w:eastAsia="宋体" w:cs="Times New Roman"/>
                <w:color w:val="auto"/>
                <w:kern w:val="2"/>
                <w:sz w:val="20"/>
                <w:szCs w:val="20"/>
                <w:highlight w:val="none"/>
                <w:lang w:val="en-US" w:eastAsia="zh-CN" w:bidi="ar"/>
              </w:rPr>
              <w:t>Transmit intermodulation</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Apply </w:t>
            </w:r>
            <w:r>
              <w:rPr>
                <w:rFonts w:hint="eastAsia" w:eastAsia="宋体" w:cs="Times New Roman"/>
                <w:sz w:val="20"/>
                <w:szCs w:val="20"/>
                <w:lang w:val="en-US" w:eastAsia="zh-CN"/>
              </w:rPr>
              <w:t>at</w:t>
            </w:r>
            <w:r>
              <w:rPr>
                <w:rFonts w:hint="eastAsia" w:ascii="Times New Roman" w:hAnsi="Times New Roman" w:eastAsia="宋体" w:cs="Times New Roman"/>
                <w:sz w:val="20"/>
                <w:szCs w:val="20"/>
                <w:lang w:val="en-US" w:eastAsia="zh-CN"/>
              </w:rPr>
              <w:t xml:space="preserve"> each</w:t>
            </w:r>
            <w:r>
              <w:rPr>
                <w:rFonts w:hint="default" w:ascii="Times New Roman" w:hAnsi="Times New Roman" w:eastAsia="宋体" w:cs="Times New Roman"/>
                <w:sz w:val="20"/>
                <w:szCs w:val="20"/>
                <w:lang w:val="en-US" w:eastAsia="zh-CN"/>
              </w:rPr>
              <w:t xml:space="preserve"> transmit antenna connector</w:t>
            </w:r>
          </w:p>
        </w:tc>
        <w:tc>
          <w:tcPr>
            <w:tcW w:w="2446" w:type="dxa"/>
            <w:vMerge w:val="restart"/>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Apply </w:t>
            </w:r>
            <w:r>
              <w:rPr>
                <w:rFonts w:hint="eastAsia" w:eastAsia="宋体" w:cs="Times New Roman"/>
                <w:sz w:val="20"/>
                <w:szCs w:val="20"/>
                <w:lang w:val="en-US" w:eastAsia="zh-CN"/>
              </w:rPr>
              <w:t>at</w:t>
            </w:r>
            <w:r>
              <w:rPr>
                <w:rFonts w:hint="eastAsia" w:ascii="Times New Roman" w:hAnsi="Times New Roman" w:eastAsia="宋体" w:cs="Times New Roman"/>
                <w:sz w:val="20"/>
                <w:szCs w:val="20"/>
                <w:lang w:val="en-US" w:eastAsia="zh-CN"/>
              </w:rPr>
              <w:t xml:space="preserve"> each</w:t>
            </w:r>
            <w:r>
              <w:rPr>
                <w:rFonts w:hint="default" w:ascii="Times New Roman" w:hAnsi="Times New Roman" w:eastAsia="宋体" w:cs="Times New Roman"/>
                <w:sz w:val="20"/>
                <w:szCs w:val="20"/>
                <w:lang w:val="en-US" w:eastAsia="zh-CN"/>
              </w:rPr>
              <w:t xml:space="preserve"> transmit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070" w:type="dxa"/>
            <w:vMerge w:val="continue"/>
            <w:vAlign w:val="center"/>
          </w:tcPr>
          <w:p>
            <w:pPr>
              <w:keepNext/>
              <w:keepLines/>
              <w:pageBreakBefore w:val="0"/>
              <w:widowControl/>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eastAsia" w:eastAsia="宋体" w:cs="Times New Roman"/>
                <w:color w:val="auto"/>
                <w:kern w:val="2"/>
                <w:sz w:val="20"/>
                <w:szCs w:val="20"/>
                <w:highlight w:val="none"/>
                <w:lang w:val="en-US" w:eastAsia="zh-CN" w:bidi="ar"/>
              </w:rPr>
            </w:pPr>
          </w:p>
        </w:tc>
        <w:tc>
          <w:tcPr>
            <w:tcW w:w="2623"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Frequency error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EVM and EVM equalizer spectrum flatness</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kern w:val="2"/>
                <w:sz w:val="20"/>
                <w:szCs w:val="20"/>
                <w:highlight w:val="none"/>
                <w:lang w:val="en-US" w:eastAsia="zh-CN" w:bidi="ar"/>
              </w:rPr>
            </w:pPr>
            <w:r>
              <w:rPr>
                <w:rFonts w:hint="eastAsia" w:eastAsia="宋体" w:cs="Times New Roman"/>
                <w:color w:val="auto"/>
                <w:kern w:val="2"/>
                <w:sz w:val="20"/>
                <w:szCs w:val="20"/>
                <w:highlight w:val="none"/>
                <w:lang w:val="en-US" w:eastAsia="zh-CN" w:bidi="ar"/>
              </w:rPr>
              <w:t>- Carrier leakage</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Apply per layer</w:t>
            </w:r>
          </w:p>
        </w:tc>
        <w:tc>
          <w:tcPr>
            <w:tcW w:w="2446" w:type="dxa"/>
            <w:vMerge w:val="continue"/>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eastAsia"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070" w:type="dxa"/>
            <w:vMerge w:val="continue"/>
            <w:vAlign w:val="center"/>
          </w:tcPr>
          <w:p>
            <w:pPr>
              <w:keepNext/>
              <w:keepLines/>
              <w:pageBreakBefore w:val="0"/>
              <w:widowControl/>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eastAsia" w:cs="Times New Roman"/>
                <w:color w:val="auto"/>
                <w:kern w:val="2"/>
                <w:sz w:val="20"/>
                <w:szCs w:val="20"/>
                <w:lang w:val="en-US" w:eastAsia="zh-CN" w:bidi="ar"/>
              </w:rPr>
            </w:pPr>
          </w:p>
        </w:tc>
        <w:tc>
          <w:tcPr>
            <w:tcW w:w="2623" w:type="dxa"/>
            <w:vAlign w:val="center"/>
          </w:tcPr>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kern w:val="2"/>
                <w:sz w:val="20"/>
                <w:szCs w:val="20"/>
                <w:lang w:val="en-US" w:eastAsia="zh-CN" w:bidi="ar"/>
              </w:rPr>
            </w:pPr>
            <w:r>
              <w:rPr>
                <w:rFonts w:hint="eastAsia" w:cs="Times New Roman"/>
                <w:color w:val="auto"/>
                <w:kern w:val="2"/>
                <w:sz w:val="20"/>
                <w:szCs w:val="20"/>
                <w:lang w:val="en-US" w:eastAsia="zh-CN" w:bidi="ar"/>
              </w:rPr>
              <w:t>- Time alignment error</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60" w:line="240" w:lineRule="auto"/>
              <w:ind w:leftChars="0"/>
              <w:jc w:val="left"/>
              <w:textAlignment w:val="auto"/>
              <w:rPr>
                <w:rFonts w:hint="default" w:ascii="Times New Roman" w:hAnsi="Times New Roman" w:eastAsia="宋体" w:cs="Times New Roman"/>
                <w:color w:val="auto"/>
                <w:sz w:val="20"/>
                <w:szCs w:val="20"/>
                <w:lang w:val="en-US" w:eastAsia="zh-CN"/>
              </w:rPr>
            </w:pPr>
            <w:r>
              <w:rPr>
                <w:rFonts w:hint="eastAsia" w:cs="Times New Roman"/>
                <w:color w:val="auto"/>
                <w:kern w:val="2"/>
                <w:sz w:val="20"/>
                <w:szCs w:val="20"/>
                <w:lang w:val="en-US" w:eastAsia="zh-CN" w:bidi="ar"/>
              </w:rPr>
              <w:t>- Coherent UL MIMO</w:t>
            </w:r>
          </w:p>
        </w:tc>
        <w:tc>
          <w:tcPr>
            <w:tcW w:w="2374" w:type="dxa"/>
            <w:vAlign w:val="center"/>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 xml:space="preserve">ifference between </w:t>
            </w:r>
            <w:r>
              <w:rPr>
                <w:rFonts w:hint="eastAsia" w:ascii="Times New Roman" w:hAnsi="Times New Roman" w:eastAsia="宋体" w:cs="Times New Roman"/>
                <w:sz w:val="20"/>
                <w:szCs w:val="20"/>
                <w:lang w:val="en-US" w:eastAsia="zh-CN"/>
              </w:rPr>
              <w:t xml:space="preserve">any </w:t>
            </w:r>
            <w:r>
              <w:rPr>
                <w:rFonts w:hint="default" w:ascii="Times New Roman" w:hAnsi="Times New Roman" w:eastAsia="宋体" w:cs="Times New Roman"/>
                <w:sz w:val="20"/>
                <w:szCs w:val="20"/>
                <w:lang w:val="en-US" w:eastAsia="zh-CN"/>
              </w:rPr>
              <w:t>two different transmit antenna connectors</w:t>
            </w:r>
          </w:p>
        </w:tc>
        <w:tc>
          <w:tcPr>
            <w:tcW w:w="2446" w:type="dxa"/>
            <w:vAlign w:val="center"/>
            <mc:AlternateContent>
              <mc:Choice Requires="wpsCustomData">
                <wpsCustomData:diagonals>
                  <wpsCustomData:diagonal from="10000" to="30000">
                    <wpsCustomData:border w:val="single" w:color="auto" w:sz="4" w:space="0"/>
                  </wpsCustomData:diagonal>
                </wpsCustomData:diagonals>
              </mc:Choice>
            </mc:AlternateContent>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mc:AlternateContent>
                <mc:Choice Requires="wpsCustomData">
                  <wpsCustomData:diagonalParaType/>
                </mc:Choice>
              </mc:AlternateContent>
              <w:rPr>
                <w:rFonts w:hint="default" w:ascii="Times New Roman" w:hAnsi="Times New Roman" w:eastAsia="宋体" w:cs="Times New Roman"/>
                <w:sz w:val="20"/>
                <w:szCs w:val="20"/>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ascii="Times New Roman" w:hAnsi="Times New Roman" w:eastAsia="宋体" w:cs="Times New Roman"/>
                <w:sz w:val="20"/>
                <w:szCs w:val="20"/>
                <w:lang w:val="en-US" w:eastAsia="zh-CN"/>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Based on the summary in Table 1, we can find that only Maximum output power, MPR/A-MPR and Configured transmitted power apply to sum of the mean power from all UE transmit antenna connectors, and are related to UE power class. Other Tx RF requirements can keep unchanged for HPUE with up to 32dBm MOP thanks to the WI on 4Tx PC1.5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Output power dynamic, Transmit signal quality and Output RF spectrum emissions</w:t>
      </w:r>
      <w:r>
        <w:rPr>
          <w:rFonts w:hint="eastAsia" w:eastAsia="宋体" w:cs="Times New Roman"/>
          <w:b/>
          <w:bCs/>
          <w:sz w:val="20"/>
          <w:szCs w:val="20"/>
          <w:lang w:val="en-US" w:eastAsia="zh-CN"/>
        </w:rPr>
        <w:t xml:space="preserve"> for UL MIMO and Tx diversity can keep unchanged for HPUE with up to 32dBm MOP.</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MPR/A-MPR </w:t>
      </w:r>
      <w:r>
        <w:rPr>
          <w:rFonts w:hint="eastAsia" w:eastAsia="宋体" w:cs="Times New Roman"/>
          <w:sz w:val="20"/>
          <w:szCs w:val="20"/>
          <w:lang w:val="en-US" w:eastAsia="zh-CN"/>
        </w:rPr>
        <w:t xml:space="preserve">requirements </w:t>
      </w:r>
      <w:r>
        <w:rPr>
          <w:rFonts w:hint="eastAsia" w:ascii="Times New Roman" w:hAnsi="Times New Roman" w:eastAsia="宋体" w:cs="Times New Roman"/>
          <w:sz w:val="20"/>
          <w:szCs w:val="20"/>
          <w:lang w:val="en-US" w:eastAsia="zh-CN"/>
        </w:rPr>
        <w:t>should</w:t>
      </w:r>
      <w:r>
        <w:rPr>
          <w:rFonts w:hint="eastAsia"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be </w:t>
      </w:r>
      <w:r>
        <w:rPr>
          <w:rFonts w:hint="eastAsia" w:eastAsia="宋体" w:cs="Times New Roman"/>
          <w:sz w:val="20"/>
          <w:szCs w:val="20"/>
          <w:lang w:val="en-US" w:eastAsia="zh-CN"/>
        </w:rPr>
        <w:t>evaluated</w:t>
      </w:r>
      <w:r>
        <w:rPr>
          <w:rFonts w:hint="eastAsia" w:ascii="Times New Roman" w:hAnsi="Times New Roman" w:eastAsia="宋体" w:cs="Times New Roman"/>
          <w:sz w:val="20"/>
          <w:szCs w:val="20"/>
          <w:lang w:val="en-US" w:eastAsia="zh-CN"/>
        </w:rPr>
        <w:t xml:space="preserve"> for CPE/FWA UE with 4x26dBm PA configuration</w:t>
      </w:r>
      <w:r>
        <w:rPr>
          <w:rFonts w:hint="eastAsia" w:eastAsia="宋体" w:cs="Times New Roman"/>
          <w:sz w:val="20"/>
          <w:szCs w:val="20"/>
          <w:lang w:val="en-US" w:eastAsia="zh-CN"/>
        </w:rPr>
        <w:t xml:space="preserve"> once the power class is decided,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considering the more severe RIMD products caused by 4Tx, which would make it difficult for a UE to meet OOB emission requirements. Consequently, larger MPR/A-MPR requirements may be needed.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4: MPR/A-MPR requirements for UL MIMO and Tx Diversity can be evaluated once the power class is decided.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ULFPTx feature was introduced in Rel-16 as UL MIMO enhancement for non-coherent UE and partial coherent UE and there are three ULFPTx modes defined in total. When introducing 4Tx PC1.5 in Rel-18, ULFPTx Mode 1 was considered in Phase 1 with 4x23dBm PA configuration and was extended to Mode 2 in Phase 2 considering PC1.5 UE with 2x23dBm+2x26dBm PA configuration and 4x26dBm PA configuration. Thus </w:t>
      </w:r>
      <w:r>
        <w:t>PUSCH configurations</w:t>
      </w:r>
      <w:r>
        <w:rPr>
          <w:rFonts w:hint="eastAsia" w:cs="Times New Roman"/>
          <w:b w:val="0"/>
          <w:bCs w:val="0"/>
          <w:i w:val="0"/>
          <w:iCs w:val="0"/>
          <w:sz w:val="20"/>
          <w:szCs w:val="20"/>
          <w:highlight w:val="none"/>
          <w:lang w:val="en-US" w:eastAsia="zh-CN"/>
        </w:rPr>
        <w:t xml:space="preserve"> 4Tx ports for both 1 layer and 2 layers for both Mode-1 and Mode-2 were added to TS38.101-1 [4].</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cs="Times New Roman"/>
          <w:b w:val="0"/>
          <w:bCs w:val="0"/>
          <w:i w:val="0"/>
          <w:iCs w:val="0"/>
          <w:sz w:val="20"/>
          <w:szCs w:val="20"/>
          <w:highlight w:val="none"/>
          <w:lang w:val="en-US" w:eastAsia="zh-CN"/>
        </w:rPr>
      </w:pPr>
      <w:r>
        <w:drawing>
          <wp:inline distT="0" distB="0" distL="114300" distR="114300">
            <wp:extent cx="5305425" cy="2762250"/>
            <wp:effectExtent l="106680" t="81280" r="120015" b="825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305425" cy="276225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HPUE with 4x26dBm PA configuration to achieve 31/32dBm MOP, ULFPTx Mode-0 (Mode-full power) can be precluded considering Mode-0 is used for the UE with full-rated PA on each Tx chain, namely 31/32dBm PA.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ULFPTx Mode-1, with </w:t>
      </w:r>
      <w:commentRangeStart w:id="0"/>
      <w:r>
        <w:rPr>
          <w:rFonts w:hint="eastAsia" w:cs="Times New Roman"/>
          <w:b w:val="0"/>
          <w:bCs w:val="0"/>
          <w:i w:val="0"/>
          <w:iCs w:val="0"/>
          <w:sz w:val="20"/>
          <w:szCs w:val="20"/>
          <w:highlight w:val="none"/>
          <w:lang w:val="en-US" w:eastAsia="zh-CN"/>
        </w:rPr>
        <w:t>1-layer TPMI=13</w:t>
      </w:r>
      <w:commentRangeEnd w:id="0"/>
      <w:r>
        <w:commentReference w:id="0"/>
      </w:r>
      <w:r>
        <w:rPr>
          <w:rFonts w:hint="eastAsia" w:cs="Times New Roman"/>
          <w:b w:val="0"/>
          <w:bCs w:val="0"/>
          <w:i w:val="0"/>
          <w:iCs w:val="0"/>
          <w:sz w:val="20"/>
          <w:szCs w:val="20"/>
          <w:highlight w:val="none"/>
          <w:lang w:val="en-US" w:eastAsia="zh-CN"/>
        </w:rPr>
        <w:t xml:space="preserve"> and </w:t>
      </w:r>
      <w:commentRangeStart w:id="1"/>
      <w:r>
        <w:rPr>
          <w:rFonts w:hint="eastAsia" w:cs="Times New Roman"/>
          <w:b w:val="0"/>
          <w:bCs w:val="0"/>
          <w:i w:val="0"/>
          <w:iCs w:val="0"/>
          <w:sz w:val="20"/>
          <w:szCs w:val="20"/>
          <w:highlight w:val="none"/>
          <w:lang w:val="en-US" w:eastAsia="zh-CN"/>
        </w:rPr>
        <w:t>2-layer TPMI=6</w:t>
      </w:r>
      <w:commentRangeEnd w:id="1"/>
      <w:r>
        <w:commentReference w:id="1"/>
      </w:r>
      <w:r>
        <w:rPr>
          <w:rFonts w:hint="eastAsia" w:eastAsia="宋体"/>
          <w:lang w:val="en-US" w:eastAsia="zh-CN"/>
        </w:rPr>
        <w:t xml:space="preserve"> </w:t>
      </w:r>
      <w:r>
        <w:rPr>
          <w:rFonts w:hint="eastAsia" w:cs="Times New Roman"/>
          <w:b w:val="0"/>
          <w:bCs w:val="0"/>
          <w:i w:val="0"/>
          <w:iCs w:val="0"/>
          <w:sz w:val="20"/>
          <w:szCs w:val="20"/>
          <w:highlight w:val="none"/>
          <w:lang w:val="en-US" w:eastAsia="zh-CN"/>
        </w:rPr>
        <w:t>as shown in the table above, 4x26Bm PA configuration could enable ULFPTx.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ULFPTx Mode-2, </w:t>
      </w:r>
      <w:r>
        <w:rPr>
          <w:lang w:val="en-US"/>
        </w:rPr>
        <w:t xml:space="preserve">feature </w:t>
      </w:r>
      <w:r>
        <w:rPr>
          <w:i/>
          <w:lang w:val="en-US"/>
        </w:rPr>
        <w:t>ul-FullPwrMode2-TPMIGroup-r16</w:t>
      </w:r>
      <w:r>
        <w:rPr>
          <w:lang w:val="en-US"/>
        </w:rPr>
        <w:t xml:space="preserve"> would indicate the UE supported TPMI group(s) which delivers full power</w:t>
      </w:r>
      <w:r>
        <w:rPr>
          <w:rFonts w:hint="eastAsia" w:eastAsia="宋体"/>
          <w:lang w:val="en-US" w:eastAsia="zh-CN"/>
        </w:rPr>
        <w:t xml:space="preserve">. 7 TPMI groups G0-G6 have been predefined in TS38.306 as shown in the table below. UE would report its supported TPMI group in </w:t>
      </w:r>
      <w:r>
        <w:rPr>
          <w:i/>
          <w:lang w:val="en-US"/>
        </w:rPr>
        <w:t>ul-FullPwrMode2-TPMIGroup-r16</w:t>
      </w:r>
      <w:r>
        <w:rPr>
          <w:rFonts w:hint="eastAsia" w:eastAsia="宋体"/>
          <w:i w:val="0"/>
          <w:iCs/>
          <w:lang w:val="en-US" w:eastAsia="zh-CN"/>
        </w:rPr>
        <w:t xml:space="preserve"> and </w:t>
      </w:r>
      <w:r>
        <w:rPr>
          <w:lang w:val="en-US"/>
        </w:rPr>
        <w:t xml:space="preserve">gNB </w:t>
      </w:r>
      <w:r>
        <w:rPr>
          <w:lang w:val="zh-CN"/>
        </w:rPr>
        <w:t>could</w:t>
      </w:r>
      <w:r>
        <w:rPr>
          <w:lang w:val="en-US"/>
        </w:rPr>
        <w:t xml:space="preserve"> have a basic assumption of UE’s PA architecture </w:t>
      </w:r>
      <w:r>
        <w:rPr>
          <w:rFonts w:hint="eastAsia" w:eastAsia="宋体"/>
          <w:lang w:val="en-US" w:eastAsia="zh-CN"/>
        </w:rPr>
        <w:t>according to this</w:t>
      </w:r>
      <w:r>
        <w:rPr>
          <w:lang w:val="en-US"/>
        </w:rPr>
        <w:t xml:space="preserve"> TPMI </w:t>
      </w:r>
      <w:r>
        <w:rPr>
          <w:rFonts w:hint="eastAsia" w:eastAsia="宋体"/>
          <w:lang w:val="en-US" w:eastAsia="zh-CN"/>
        </w:rPr>
        <w:t>group</w:t>
      </w:r>
      <w:r>
        <w:rPr>
          <w:lang w:val="en-US"/>
        </w:rPr>
        <w:t xml:space="preserve"> information</w:t>
      </w:r>
      <w:r>
        <w:rPr>
          <w:rFonts w:hint="eastAsia" w:eastAsia="宋体"/>
          <w:lang w:val="en-US" w:eastAsia="zh-CN"/>
        </w:rPr>
        <w:t xml:space="preserve">. However, for 4x26dBm PA configuration, none of the TPMI groups can support full-power transmission. Namely, with partial PAs it is impossible to achieve 31/32dBm MOP, unless other improved PA configurations are introduced in the future, for example, 2x26dBm+2x29dBm PA configuration or 4x29dBm PA configuration. Therefore, </w:t>
      </w:r>
      <w:r>
        <w:rPr>
          <w:rFonts w:hint="eastAsia" w:cs="Times New Roman"/>
          <w:b w:val="0"/>
          <w:bCs w:val="0"/>
          <w:i w:val="0"/>
          <w:iCs w:val="0"/>
          <w:sz w:val="20"/>
          <w:szCs w:val="20"/>
          <w:highlight w:val="none"/>
          <w:lang w:val="en-US" w:eastAsia="zh-CN"/>
        </w:rPr>
        <w:t>ULFPTx Mode-2 can be further considered if other PA configurations are introduced in the future.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lang w:val="en-US" w:eastAsia="zh-CN"/>
        </w:rPr>
      </w:pPr>
      <w:r>
        <w:rPr>
          <w:rFonts w:hint="eastAsia" w:cs="Times New Roman"/>
          <w:b/>
          <w:bCs/>
          <w:i w:val="0"/>
          <w:iCs w:val="0"/>
          <w:sz w:val="20"/>
          <w:szCs w:val="20"/>
          <w:highlight w:val="none"/>
          <w:lang w:val="en-US" w:eastAsia="zh-CN"/>
        </w:rPr>
        <w:t>Proposal 5: 4Tx HPUE with 4x26dBm PA configuration could indicate ULFPTx Mode-1 to achieve 31/32dBm MOP. ULFPTx Mode-2 can be further considered if other PA configurations are introduced in the future.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pPr>
      <w:r>
        <w:drawing>
          <wp:inline distT="0" distB="0" distL="114300" distR="114300">
            <wp:extent cx="2820035" cy="3926205"/>
            <wp:effectExtent l="81915" t="92710" r="85090" b="9588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1"/>
                    <a:stretch>
                      <a:fillRect/>
                    </a:stretch>
                  </pic:blipFill>
                  <pic:spPr>
                    <a:xfrm>
                      <a:off x="0" y="0"/>
                      <a:ext cx="2820035" cy="392620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eastAsia="宋体" w:cs="Times New Roman"/>
          <w:sz w:val="20"/>
          <w:szCs w:val="20"/>
          <w:lang w:val="en-US" w:eastAsia="zh-CN"/>
        </w:rPr>
        <w:t>For Rx requirements, there should be no changes thanks to the work on 4Tx PC1.5 UE.</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Proposal 6: There is no impact on Rx requirements when introducing HPUE with up to 32dBm MOP.</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both"/>
        <w:textAlignment w:val="auto"/>
        <w:rPr>
          <w:rFonts w:hint="default"/>
          <w:lang w:val="en-US" w:eastAsia="zh-CN"/>
        </w:rPr>
      </w:pP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Times New Roman" w:hAnsi="Times New Roman" w:eastAsia="宋体" w:cs="Times New Roman"/>
          <w:highlight w:val="none"/>
          <w:lang w:val="en-US" w:eastAsia="zh-CN"/>
        </w:rPr>
      </w:pPr>
      <w:r>
        <w:rPr>
          <w:rFonts w:hint="eastAsia" w:ascii="Arial" w:hAnsi="Arial" w:cs="Arial"/>
          <w:b/>
          <w:bCs/>
          <w:i w:val="0"/>
          <w:iCs w:val="0"/>
          <w:sz w:val="22"/>
          <w:szCs w:val="22"/>
          <w:highlight w:val="none"/>
          <w:u w:val="none"/>
          <w:lang w:val="en-US" w:eastAsia="zh-CN"/>
        </w:rPr>
        <w:t>2.3 RF requirements for PC1.5 2Tx</w:t>
      </w:r>
      <w:r>
        <w:rPr>
          <w:rFonts w:hint="default" w:ascii="Arial" w:hAnsi="Arial" w:cs="Arial"/>
          <w:b/>
          <w:bCs/>
          <w:i w:val="0"/>
          <w:iCs w:val="0"/>
          <w:sz w:val="22"/>
          <w:szCs w:val="22"/>
          <w:highlight w:val="none"/>
          <w:u w:val="none"/>
          <w:lang w:val="en-US" w:eastAsia="zh-CN"/>
        </w:rPr>
        <w:t xml:space="preserve"> CPE/FWA</w:t>
      </w:r>
      <w:r>
        <w:rPr>
          <w:rFonts w:hint="eastAsia" w:ascii="Arial" w:hAnsi="Arial" w:cs="Arial"/>
          <w:b/>
          <w:bCs/>
          <w:i w:val="0"/>
          <w:iCs w:val="0"/>
          <w:sz w:val="22"/>
          <w:szCs w:val="22"/>
          <w:highlight w:val="none"/>
          <w:u w:val="none"/>
          <w:lang w:val="en-US" w:eastAsia="zh-CN"/>
        </w:rPr>
        <w:t xml:space="preserve"> for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eastAsia="宋体" w:cs="Times New Roman"/>
          <w:highlight w:val="none"/>
          <w:lang w:val="en-US" w:eastAsia="zh-CN"/>
        </w:rPr>
        <w:t>In current TS38.101-1,</w:t>
      </w:r>
      <w:r>
        <w:rPr>
          <w:rFonts w:hint="eastAsia" w:cs="Times New Roman"/>
          <w:b w:val="0"/>
          <w:bCs w:val="0"/>
          <w:i w:val="0"/>
          <w:iCs w:val="0"/>
          <w:sz w:val="20"/>
          <w:szCs w:val="20"/>
          <w:highlight w:val="none"/>
          <w:lang w:val="en-US" w:eastAsia="zh-CN"/>
        </w:rPr>
        <w:t xml:space="preserve"> </w:t>
      </w:r>
      <w:r>
        <w:rPr>
          <w:rFonts w:hint="eastAsia" w:ascii="Times New Roman" w:hAnsi="Times New Roman" w:cs="Times New Roman"/>
          <w:b w:val="0"/>
          <w:bCs w:val="0"/>
          <w:i w:val="0"/>
          <w:iCs w:val="0"/>
          <w:sz w:val="20"/>
          <w:szCs w:val="20"/>
          <w:highlight w:val="none"/>
          <w:lang w:val="en-US" w:eastAsia="zh-CN"/>
        </w:rPr>
        <w:t>PC1.5 with 2Tx for TDD bands, such as n41, n77</w:t>
      </w:r>
      <w:r>
        <w:rPr>
          <w:rFonts w:hint="eastAsia" w:cs="Times New Roman"/>
          <w:b w:val="0"/>
          <w:bCs w:val="0"/>
          <w:i w:val="0"/>
          <w:iCs w:val="0"/>
          <w:sz w:val="20"/>
          <w:szCs w:val="20"/>
          <w:highlight w:val="none"/>
          <w:lang w:val="en-US" w:eastAsia="zh-CN"/>
        </w:rPr>
        <w:t>/</w:t>
      </w:r>
      <w:r>
        <w:rPr>
          <w:rFonts w:hint="eastAsia" w:ascii="Times New Roman" w:hAnsi="Times New Roman" w:cs="Times New Roman"/>
          <w:b w:val="0"/>
          <w:bCs w:val="0"/>
          <w:i w:val="0"/>
          <w:iCs w:val="0"/>
          <w:sz w:val="20"/>
          <w:szCs w:val="20"/>
          <w:highlight w:val="none"/>
          <w:lang w:val="en-US" w:eastAsia="zh-CN"/>
        </w:rPr>
        <w:t xml:space="preserve">n78, n79, and related 2x2 UL MIMO and TxD requirements are specified. These requirements are agnostic of NR bands. If RAN4 would like to introduce new FDD bands for PC1.5 UE with 2Tx, </w:t>
      </w:r>
      <w:r>
        <w:rPr>
          <w:rFonts w:hint="eastAsia" w:cs="Times New Roman"/>
          <w:b w:val="0"/>
          <w:bCs w:val="0"/>
          <w:i w:val="0"/>
          <w:iCs w:val="0"/>
          <w:sz w:val="20"/>
          <w:szCs w:val="20"/>
          <w:highlight w:val="none"/>
          <w:lang w:val="en-US" w:eastAsia="zh-CN"/>
        </w:rPr>
        <w:t xml:space="preserve">some </w:t>
      </w:r>
      <w:r>
        <w:rPr>
          <w:rFonts w:hint="eastAsia" w:ascii="Times New Roman" w:hAnsi="Times New Roman" w:cs="Times New Roman"/>
          <w:b w:val="0"/>
          <w:bCs w:val="0"/>
          <w:i w:val="0"/>
          <w:iCs w:val="0"/>
          <w:sz w:val="20"/>
          <w:szCs w:val="20"/>
          <w:highlight w:val="none"/>
          <w:lang w:val="en-US" w:eastAsia="zh-CN"/>
        </w:rPr>
        <w:t>legacy requirements should also apply</w:t>
      </w:r>
      <w:r>
        <w:rPr>
          <w:rFonts w:hint="eastAsia" w:cs="Times New Roman"/>
          <w:b w:val="0"/>
          <w:bCs w:val="0"/>
          <w:i w:val="0"/>
          <w:iCs w:val="0"/>
          <w:sz w:val="20"/>
          <w:szCs w:val="20"/>
          <w:highlight w:val="none"/>
          <w:lang w:val="en-US" w:eastAsia="zh-CN"/>
        </w:rPr>
        <w:t>. Except maximum output power and ACLR, MPR requirements in current specification should also apply to FDD bands</w:t>
      </w:r>
      <w:r>
        <w:rPr>
          <w:rFonts w:hint="eastAsia" w:ascii="Times New Roman" w:hAnsi="Times New Roman" w:cs="Times New Roman"/>
          <w:b w:val="0"/>
          <w:bCs w:val="0"/>
          <w:i w:val="0"/>
          <w:iCs w:val="0"/>
          <w:sz w:val="20"/>
          <w:szCs w:val="20"/>
          <w:highlight w:val="none"/>
          <w:lang w:val="en-US" w:eastAsia="zh-CN"/>
        </w:rPr>
        <w:t>.</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7: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lang w:val="en-US" w:eastAsia="zh-CN"/>
        </w:rPr>
      </w:pPr>
      <w:r>
        <w:rPr>
          <w:rFonts w:hint="eastAsia" w:cs="Times New Roman"/>
          <w:b w:val="0"/>
          <w:bCs w:val="0"/>
          <w:i w:val="0"/>
          <w:iCs w:val="0"/>
          <w:sz w:val="20"/>
          <w:szCs w:val="20"/>
          <w:highlight w:val="none"/>
          <w:lang w:val="en-US" w:eastAsia="zh-CN"/>
        </w:rPr>
        <w:t xml:space="preserve">Another difference between PC1.5 2Tx FDD and PC1.5 2Tx TDD is that RSD requirements should be defined for 2Tx FDD bands due to the self-interference impacts on Rx from its own Tx. There are two example bands, n1 and n25, to be defined in this WID. In current TS38.101-1, the RSD requirements </w:t>
      </w:r>
      <w:r>
        <w:rPr>
          <w:rFonts w:eastAsia="PMingLiU"/>
        </w:rPr>
        <w:t>from PC3 to PC2 for</w:t>
      </w:r>
      <w:r>
        <w:rPr>
          <w:rFonts w:hint="eastAsia" w:eastAsia="宋体"/>
          <w:lang w:val="en-US" w:eastAsia="zh-CN"/>
        </w:rPr>
        <w:t xml:space="preserve"> </w:t>
      </w:r>
      <w:r>
        <w:rPr>
          <w:rFonts w:hint="eastAsia"/>
          <w:lang w:eastAsia="zh-CN"/>
        </w:rPr>
        <w:t>FDD bands</w:t>
      </w:r>
      <w:r>
        <w:rPr>
          <w:rFonts w:hint="eastAsia"/>
          <w:lang w:val="en-US" w:eastAsia="zh-CN"/>
        </w:rPr>
        <w:t xml:space="preserve"> n1 and n25</w:t>
      </w:r>
      <w:r>
        <w:rPr>
          <w:rFonts w:hint="eastAsia"/>
          <w:lang w:eastAsia="zh-CN"/>
        </w:rPr>
        <w:t xml:space="preserve"> for </w:t>
      </w:r>
      <w:r>
        <w:rPr>
          <w:rFonts w:eastAsia="PMingLiU"/>
        </w:rPr>
        <w:t>UE supporting Tx Diversity</w:t>
      </w:r>
      <w:r>
        <w:rPr>
          <w:rFonts w:hint="eastAsia" w:eastAsia="宋体"/>
          <w:lang w:val="en-US" w:eastAsia="zh-CN"/>
        </w:rPr>
        <w:t xml:space="preserve"> are defined as:</w:t>
      </w:r>
    </w:p>
    <w:tbl>
      <w:tblPr>
        <w:tblStyle w:val="18"/>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87"/>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7" w:hRule="atLeast"/>
          <w:tblHeader/>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Operating Band</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lang w:val="en-US" w:eastAsia="en-GB"/>
              </w:rPr>
            </w:pPr>
            <w:r>
              <w:rPr>
                <w:rFonts w:eastAsia="PMingLiU"/>
                <w:lang w:val="en-US" w:eastAsia="en-GB"/>
              </w:rPr>
              <w:t>3</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7</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30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35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4" w:hRule="atLeast"/>
          <w:jc w:val="center"/>
        </w:trPr>
        <w:tc>
          <w:tcPr>
            <w:tcW w:w="108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eastAsia="PMingLiU" w:cs="Arial"/>
              </w:rPr>
            </w:pPr>
            <w:r>
              <w:rPr>
                <w:rFonts w:ascii="Arial" w:hAnsi="Arial" w:eastAsia="PMingLiU" w:cs="Arial"/>
              </w:rPr>
              <w:t>n1</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n25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1.5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1.5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1.6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1.6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1.7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6.0</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6.2</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6.7</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7.1</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can be found that 0dB RSD is defined for n1 due to large Tx-Rx carrier centre frequency separation. Therefore, for PC1.5 2Tx UE in band n1, it could be foreseen that the RSD=0dB from PC3 to PC1.5 for UE supporting Tx Diversity in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8: It is proposed that RSD=0dB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UE supporting Tx Diversity in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band n25, we evaluate the RSD from PC3 to PC1.5 for PC1.5 UE supporting Tx Diversity as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9: To consider the the RSD from PC3 to PC1.5 for PC1.5 UE supporting Tx Diversity as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ascii="Times New Roman" w:hAnsi="Times New Roman" w:eastAsia="宋体" w:cs="Times New Roman"/>
          <w:b/>
          <w:bCs/>
          <w:sz w:val="20"/>
          <w:szCs w:val="20"/>
          <w:lang w:val="en-US" w:eastAsia="zh-CN"/>
        </w:rPr>
        <w:t xml:space="preserve">Table </w:t>
      </w:r>
      <w:r>
        <w:rPr>
          <w:rFonts w:hint="eastAsia"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 xml:space="preserve">  </w:t>
      </w:r>
      <w:r>
        <w:rPr>
          <w:rFonts w:hint="eastAsia" w:cs="Times New Roman"/>
          <w:b/>
          <w:bCs/>
          <w:i w:val="0"/>
          <w:iCs w:val="0"/>
          <w:sz w:val="20"/>
          <w:szCs w:val="20"/>
          <w:highlight w:val="none"/>
          <w:lang w:val="en-US" w:eastAsia="zh-CN"/>
        </w:rPr>
        <w:t>RSD from PC3 to PC1.5 for PC1.5 UE supporting Tx Diversity</w:t>
      </w:r>
    </w:p>
    <w:tbl>
      <w:tblPr>
        <w:tblStyle w:val="18"/>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87"/>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7" w:hRule="atLeast"/>
          <w:tblHeader/>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Operating Band</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lang w:val="en-US" w:eastAsia="en-GB"/>
              </w:rPr>
            </w:pPr>
            <w:r>
              <w:rPr>
                <w:rFonts w:eastAsia="PMingLiU"/>
                <w:lang w:val="en-US" w:eastAsia="en-GB"/>
              </w:rPr>
              <w:t>3</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7</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30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35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n25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 xml:space="preserve">2.4 </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8.8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9.1</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9.8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10.2</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addition to that, with our experience in the past, there will be more new FDD bands introduced in the spec to support PC1.5 2Tx. It was a time-consuming work in terms of the PC2 2Tx FDD discussion in Rel-18/19. Thus to learn a lesson from PC2 2Tx FDD, we think it would be better to come up with a general approach to defined the RSD requirements from PC3 to PC1.5.</w:t>
      </w:r>
      <w:r>
        <w:rPr>
          <w:rFonts w:hint="eastAsia" w:cs="Times New Roman"/>
          <w:b w:val="0"/>
          <w:bCs w:val="0"/>
          <w:i w:val="0"/>
          <w:iCs w:val="0"/>
          <w:strike w:val="0"/>
          <w:dstrike w:val="0"/>
          <w:sz w:val="20"/>
          <w:szCs w:val="20"/>
          <w:highlight w:val="none"/>
          <w:lang w:val="en-US" w:eastAsia="zh-CN"/>
        </w:rPr>
        <w:t xml:space="preserve"> Then some evaluations are needed to compare 2x26dBm PA configuration and 1x23dBm PA configuration.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10: It is proposed to study a general approach to defined the RSD requirements from PC3 to PC1.5 for all PC1.5 2Tx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b/>
          <w:bCs/>
          <w:lang w:val="en-US" w:eastAsia="zh-CN"/>
        </w:rPr>
      </w:pPr>
      <w:r>
        <w:rPr>
          <w:rFonts w:hint="eastAsia" w:eastAsia="宋体"/>
          <w:b/>
          <w:bCs/>
          <w:lang w:val="en-US" w:eastAsia="zh-CN"/>
        </w:rPr>
        <w:t>Observation 1: 4Tx PC1 NTN HPUE has been introduced in Rel-19 and 34dB ACLR was specified.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Observation 2: A new power class with 32dBm maximum output power will impact current RAN2 specification.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lang w:val="en-US" w:eastAsia="zh-CN"/>
        </w:rPr>
        <w:t xml:space="preserve">Observation 3: </w:t>
      </w:r>
      <w:r>
        <w:rPr>
          <w:rFonts w:hint="eastAsia" w:cs="Times New Roman"/>
          <w:b/>
          <w:bCs/>
          <w:i w:val="0"/>
          <w:iCs w:val="0"/>
          <w:sz w:val="20"/>
          <w:szCs w:val="20"/>
          <w:highlight w:val="none"/>
          <w:lang w:val="en-US" w:eastAsia="zh-CN"/>
        </w:rPr>
        <w:t>UE is not allowed to always transmit with maximum output power because of power backoff and network configuration. 4Tx with 4x26dBm PA configuration will cause more serious reverse IMD compared to legacy UE, which may further limit UE</w:t>
      </w:r>
      <w:r>
        <w:rPr>
          <w:rFonts w:hint="default" w:cs="Times New Roman"/>
          <w:b/>
          <w:bCs/>
          <w:i w:val="0"/>
          <w:iCs w:val="0"/>
          <w:sz w:val="20"/>
          <w:szCs w:val="20"/>
          <w:highlight w:val="none"/>
          <w:lang w:val="en-US" w:eastAsia="zh-CN"/>
        </w:rPr>
        <w:t>’</w:t>
      </w:r>
      <w:r>
        <w:rPr>
          <w:rFonts w:hint="eastAsia" w:cs="Times New Roman"/>
          <w:b/>
          <w:bCs/>
          <w:i w:val="0"/>
          <w:iCs w:val="0"/>
          <w:sz w:val="20"/>
          <w:szCs w:val="20"/>
          <w:highlight w:val="none"/>
          <w:lang w:val="en-US" w:eastAsia="zh-CN"/>
        </w:rPr>
        <w:t>s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bookmarkStart w:id="2" w:name="_GoBack"/>
      <w:bookmarkEnd w:id="2"/>
      <w:r>
        <w:rPr>
          <w:rFonts w:hint="eastAsia"/>
          <w:b/>
          <w:bCs w:val="0"/>
          <w:i w:val="0"/>
          <w:iCs w:val="0"/>
          <w:color w:val="auto"/>
          <w:kern w:val="0"/>
          <w:sz w:val="20"/>
          <w:szCs w:val="20"/>
          <w:highlight w:val="none"/>
          <w:u w:val="single"/>
          <w:vertAlign w:val="baselin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Define 4Tx CPE/FWA UE with 4x26dBm PA configuration as PC1 UE with 31dB maximum output power and +2/-3dB tolerance.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 If 32dBm output power is feasible, treat the potential 1dB more output power as power boosting.</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Output power dynamic, Transmit signal quality and Output RF spectrum emissions</w:t>
      </w:r>
      <w:r>
        <w:rPr>
          <w:rFonts w:hint="eastAsia" w:eastAsia="宋体" w:cs="Times New Roman"/>
          <w:b/>
          <w:bCs/>
          <w:sz w:val="20"/>
          <w:szCs w:val="20"/>
          <w:lang w:val="en-US" w:eastAsia="zh-CN"/>
        </w:rPr>
        <w:t xml:space="preserve"> for UL MIMO and Tx diversity can keep unchanged for HPUE with up to 32dBm MOP.</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4: MPR/A-MPR requirements for UL MIMO and Tx Diversity can be evaluated once the power class is decided.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4Tx HPUE with 4x26dBm PA configuration could indicate ULFPTx Mode-1 to achieve 31/32dBm MOP. ULFPTx Mode-2 can be further considered if other PA configurations are introduced in the future.</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eastAsia" w:cs="Times New Roman"/>
          <w:b/>
          <w:bCs/>
          <w:i w:val="0"/>
          <w:iCs w:val="0"/>
          <w:sz w:val="20"/>
          <w:szCs w:val="20"/>
          <w:highlight w:val="none"/>
          <w:lang w:val="en-US" w:eastAsia="zh-CN"/>
        </w:rPr>
      </w:pPr>
      <w:r>
        <w:rPr>
          <w:rFonts w:hint="eastAsia" w:eastAsia="宋体" w:cs="Times New Roman"/>
          <w:b/>
          <w:bCs/>
          <w:sz w:val="20"/>
          <w:szCs w:val="20"/>
          <w:lang w:val="en-US" w:eastAsia="zh-CN"/>
        </w:rPr>
        <w:t>Proposal 6: There is no impact on Rx requirements when introducing HPUE with up to 32dBm MOP.</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7: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8: It is proposed that RSD=0dB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UE supporting Tx Diversity in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9: To consider the the RSD from PC3 to PC1.5 for PC1.5 UE supporting Tx Diversity as shown in Table 2.</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ascii="Times New Roman" w:hAnsi="Times New Roman" w:eastAsia="宋体" w:cs="Times New Roman"/>
          <w:b/>
          <w:bCs/>
          <w:sz w:val="20"/>
          <w:szCs w:val="20"/>
          <w:lang w:val="en-US" w:eastAsia="zh-CN"/>
        </w:rPr>
        <w:t xml:space="preserve">Table </w:t>
      </w:r>
      <w:r>
        <w:rPr>
          <w:rFonts w:hint="eastAsia" w:eastAsia="宋体" w:cs="Times New Roman"/>
          <w:b/>
          <w:bCs/>
          <w:sz w:val="20"/>
          <w:szCs w:val="20"/>
          <w:lang w:val="en-US" w:eastAsia="zh-CN"/>
        </w:rPr>
        <w:t>2</w:t>
      </w:r>
      <w:r>
        <w:rPr>
          <w:rFonts w:hint="eastAsia" w:ascii="Times New Roman" w:hAnsi="Times New Roman" w:eastAsia="宋体" w:cs="Times New Roman"/>
          <w:b/>
          <w:bCs/>
          <w:sz w:val="20"/>
          <w:szCs w:val="20"/>
          <w:lang w:val="en-US" w:eastAsia="zh-CN"/>
        </w:rPr>
        <w:t xml:space="preserve">  </w:t>
      </w:r>
      <w:r>
        <w:rPr>
          <w:rFonts w:hint="eastAsia" w:cs="Times New Roman"/>
          <w:b/>
          <w:bCs/>
          <w:i w:val="0"/>
          <w:iCs w:val="0"/>
          <w:sz w:val="20"/>
          <w:szCs w:val="20"/>
          <w:highlight w:val="none"/>
          <w:lang w:val="en-US" w:eastAsia="zh-CN"/>
        </w:rPr>
        <w:t>RSD from PC3 to PC1.5 for PC1.5 UE supporting Tx Diversity</w:t>
      </w:r>
    </w:p>
    <w:tbl>
      <w:tblPr>
        <w:tblStyle w:val="18"/>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87"/>
        <w:gridCol w:w="653"/>
        <w:gridCol w:w="653"/>
        <w:gridCol w:w="653"/>
        <w:gridCol w:w="653"/>
        <w:gridCol w:w="653"/>
        <w:gridCol w:w="653"/>
        <w:gridCol w:w="653"/>
        <w:gridCol w:w="653"/>
        <w:gridCol w:w="653"/>
        <w:gridCol w:w="653"/>
        <w:gridCol w:w="653"/>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7" w:hRule="atLeast"/>
          <w:tblHeader/>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Operating Band</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lang w:val="en-US" w:eastAsia="en-GB"/>
              </w:rPr>
            </w:pPr>
            <w:r>
              <w:rPr>
                <w:rFonts w:eastAsia="PMingLiU"/>
                <w:lang w:val="en-US" w:eastAsia="en-GB"/>
              </w:rPr>
              <w:t>3</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lang w:val="en-US" w:eastAsia="en-GB"/>
              </w:rPr>
              <w:t>MHz</w:t>
            </w:r>
            <w:r>
              <w:rPr>
                <w:rFonts w:eastAsia="PMingLiU"/>
                <w:lang w:val="en-US" w:eastAsia="en-GB"/>
              </w:rPr>
              <w:br w:type="textWrapping"/>
            </w:r>
            <w:r>
              <w:rPr>
                <w:rFonts w:eastAsia="PMingLiU"/>
                <w:lang w:val="en-US" w:eastAsia="en-GB"/>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7</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15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25</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30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35 MHz (dB)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c>
          <w:tcPr>
            <w:tcW w:w="653"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45 MHz (dB)</w:t>
            </w:r>
          </w:p>
        </w:tc>
        <w:tc>
          <w:tcPr>
            <w:tcW w:w="718" w:type="dxa"/>
            <w:tcBorders>
              <w:top w:val="single" w:color="auto" w:sz="4" w:space="0"/>
              <w:left w:val="single" w:color="auto" w:sz="4" w:space="0"/>
              <w:bottom w:val="single" w:color="auto" w:sz="4" w:space="0"/>
              <w:right w:val="single" w:color="auto" w:sz="4" w:space="0"/>
            </w:tcBorders>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50</w:t>
            </w:r>
          </w:p>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MHz</w:t>
            </w:r>
            <w:r>
              <w:rPr>
                <w:rFonts w:eastAsia="PMingLiU"/>
              </w:rPr>
              <w:br w:type="textWrapping"/>
            </w:r>
            <w:r>
              <w:rPr>
                <w:rFonts w:eastAsia="PMingLiU"/>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0" w:hRule="atLeast"/>
          <w:jc w:val="center"/>
        </w:trPr>
        <w:tc>
          <w:tcPr>
            <w:tcW w:w="1087"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r>
              <w:rPr>
                <w:rFonts w:eastAsia="PMingLiU"/>
              </w:rPr>
              <w:t>n25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r>
              <w:rPr>
                <w:rFonts w:hint="eastAsia" w:eastAsia="宋体"/>
                <w:lang w:eastAsia="zh-CN"/>
              </w:rPr>
              <w:t xml:space="preserve">2.4 </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宋体"/>
                <w:lang w:eastAsia="zh-CN"/>
              </w:rPr>
            </w:pP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2.5</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2.6</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2.8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8.8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9.1</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9.8</w:t>
            </w:r>
          </w:p>
        </w:tc>
        <w:tc>
          <w:tcPr>
            <w:tcW w:w="653"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lang w:val="en-US" w:eastAsia="zh-CN"/>
              </w:rPr>
            </w:pPr>
            <w:r>
              <w:rPr>
                <w:rFonts w:hint="eastAsia"/>
                <w:lang w:val="en-US" w:eastAsia="zh-CN"/>
              </w:rPr>
              <w:t>10.2</w:t>
            </w:r>
          </w:p>
        </w:tc>
        <w:tc>
          <w:tcPr>
            <w:tcW w:w="718"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widowControl/>
              <w:kinsoku/>
              <w:wordWrap/>
              <w:overflowPunct/>
              <w:topLinePunct w:val="0"/>
              <w:autoSpaceDE/>
              <w:autoSpaceDN/>
              <w:bidi w:val="0"/>
              <w:adjustRightInd/>
              <w:snapToGrid w:val="0"/>
              <w:spacing w:after="0" w:line="240" w:lineRule="auto"/>
              <w:jc w:val="center"/>
              <w:textAlignment w:val="auto"/>
              <w:rPr>
                <w:rFonts w:eastAsia="PMingLiU"/>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10: It is proposed to study a general approach to defined the RSD requirements from PC3 to PC1.5 for all PC1.5 2Tx FDD bands.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R4-2515087 Way Forward for [116bis][316] NR_UE_RF_Ph5, RAn4#116bis, Prague, CZ, Oct.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RP-252962 New WID: UE RF enhancements for NR FR1, Phase 5, RAN#109, Beijing, CN, Sept.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R4-2511320 MPR and antenna isolation evaluation for 4Tx PC1, RAN4#116, Skyworks, Bengaluru, India, Aug.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lang w:val="en-US" w:eastAsia="zh-CN"/>
        </w:rPr>
      </w:pPr>
      <w:r>
        <w:rPr>
          <w:rFonts w:hint="eastAsia"/>
          <w:sz w:val="20"/>
          <w:szCs w:val="20"/>
          <w:highlight w:val="none"/>
          <w:lang w:val="en-US" w:eastAsia="zh-CN"/>
        </w:rPr>
        <w:t>R4-2321787 draft Big CR to TS 38.101-1: 4Tx requirements, RAN4#109, Chicago, USA, Nov. 2023.</w:t>
      </w:r>
    </w:p>
    <w:sectPr>
      <w:footerReference r:id="rId7"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Liu Ke" w:date="2025-11-04T17:26:43Z" w:initials="0">
    <w:p w14:paraId="2B8C541D">
      <w:pPr>
        <w:pStyle w:val="8"/>
      </w:pPr>
      <w:r>
        <w:rPr>
          <w:position w:val="-56"/>
          <w:highlight w:val="none"/>
        </w:rPr>
        <w:object>
          <v:shape id="_x0000_i1025" o:spt="75" type="#_x0000_t75" style="height:43.4pt;width:17.55pt;" o:ole="t" filled="f" o:preferrelative="t" stroked="f" coordsize="21600,21600">
            <v:path/>
            <v:fill on="f" focussize="0,0"/>
            <v:stroke on="f"/>
            <v:imagedata r:id="rId2" o:title=""/>
            <o:lock v:ext="edit" aspectratio="t"/>
            <w10:wrap type="none"/>
            <w10:anchorlock/>
          </v:shape>
          <o:OLEObject Type="Embed" ProgID="Equation.3" ShapeID="_x0000_i1025" DrawAspect="Content" ObjectID="_1468075725" r:id="rId1">
            <o:LockedField>false</o:LockedField>
          </o:OLEObject>
        </w:object>
      </w:r>
    </w:p>
  </w:comment>
  <w:comment w:id="1" w:author="ZTE Liu Ke" w:date="2025-11-04T17:26:54Z" w:initials="0">
    <w:p w14:paraId="45BD7D84">
      <w:pPr>
        <w:pStyle w:val="8"/>
      </w:pPr>
      <w:r>
        <w:rPr>
          <w:rFonts w:eastAsia="Batang"/>
          <w:position w:val="-56"/>
          <w:highlight w:val="none"/>
        </w:rPr>
        <w:object>
          <v:shape id="_x0000_i1026" o:spt="75" type="#_x0000_t75" style="height:42.8pt;width:34.6pt;" o:ole="t" filled="f" o:preferrelative="t" stroked="f" coordsize="21600,21600">
            <v:path/>
            <v:fill on="f" focussize="0,0"/>
            <v:stroke on="f"/>
            <v:imagedata r:id="rId4" o:title=""/>
            <o:lock v:ext="edit" aspectratio="t"/>
            <w10:wrap type="none"/>
            <w10:anchorlock/>
          </v:shape>
          <o:OLEObject Type="Embed" ProgID="Equation.3" ShapeID="_x0000_i1026" DrawAspect="Content" ObjectID="_1468075726" r:id="rId3">
            <o:LockedField>false</o:LockedField>
          </o:OLEObject>
        </w:objec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8C541D" w15:done="0"/>
  <w15:commentEx w15:paraId="45BD7D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90542E2"/>
    <w:multiLevelType w:val="multilevel"/>
    <w:tmpl w:val="690542E2"/>
    <w:lvl w:ilvl="0" w:tentative="0">
      <w:start w:val="2"/>
      <w:numFmt w:val="decimal"/>
      <w:lvlText w:val="%1"/>
      <w:lvlJc w:val="left"/>
      <w:pPr>
        <w:ind w:left="360" w:hanging="360"/>
      </w:pPr>
      <w:rPr>
        <w:rFonts w:hint="default"/>
      </w:rPr>
    </w:lvl>
    <w:lvl w:ilvl="1" w:tentative="0">
      <w:start w:val="1"/>
      <w:numFmt w:val="decimal"/>
      <w:lvlText w:val="%1.%2"/>
      <w:lvlJc w:val="left"/>
      <w:pPr>
        <w:ind w:left="7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D2559"/>
    <w:rsid w:val="044259F2"/>
    <w:rsid w:val="045D198A"/>
    <w:rsid w:val="046824A8"/>
    <w:rsid w:val="0478015E"/>
    <w:rsid w:val="04865F4C"/>
    <w:rsid w:val="0497524C"/>
    <w:rsid w:val="049C47B9"/>
    <w:rsid w:val="04B43FA7"/>
    <w:rsid w:val="04BF26EE"/>
    <w:rsid w:val="04C44DDD"/>
    <w:rsid w:val="04D16755"/>
    <w:rsid w:val="04D20004"/>
    <w:rsid w:val="04D93FA6"/>
    <w:rsid w:val="04E54CF2"/>
    <w:rsid w:val="04EB6A3A"/>
    <w:rsid w:val="04ED62D1"/>
    <w:rsid w:val="04F31B7C"/>
    <w:rsid w:val="04F46C46"/>
    <w:rsid w:val="04FC2C75"/>
    <w:rsid w:val="05037AB2"/>
    <w:rsid w:val="05053880"/>
    <w:rsid w:val="050F2775"/>
    <w:rsid w:val="05143195"/>
    <w:rsid w:val="0526729B"/>
    <w:rsid w:val="05402104"/>
    <w:rsid w:val="054248F2"/>
    <w:rsid w:val="05492E9A"/>
    <w:rsid w:val="05510DD1"/>
    <w:rsid w:val="05533CBE"/>
    <w:rsid w:val="05741DF6"/>
    <w:rsid w:val="05785C74"/>
    <w:rsid w:val="05847419"/>
    <w:rsid w:val="0586171E"/>
    <w:rsid w:val="058704DA"/>
    <w:rsid w:val="059160D0"/>
    <w:rsid w:val="05AE018C"/>
    <w:rsid w:val="05B303FF"/>
    <w:rsid w:val="05B32ECD"/>
    <w:rsid w:val="05D1514D"/>
    <w:rsid w:val="05D41EE2"/>
    <w:rsid w:val="05D423F7"/>
    <w:rsid w:val="05FF0D9C"/>
    <w:rsid w:val="0620680F"/>
    <w:rsid w:val="062464D1"/>
    <w:rsid w:val="06285D29"/>
    <w:rsid w:val="062937AB"/>
    <w:rsid w:val="062941CA"/>
    <w:rsid w:val="062A620F"/>
    <w:rsid w:val="063661E5"/>
    <w:rsid w:val="06410604"/>
    <w:rsid w:val="064B00B0"/>
    <w:rsid w:val="064F5221"/>
    <w:rsid w:val="065C3A1D"/>
    <w:rsid w:val="065D195A"/>
    <w:rsid w:val="0664079E"/>
    <w:rsid w:val="06654A0B"/>
    <w:rsid w:val="06686223"/>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018B9"/>
    <w:rsid w:val="07622262"/>
    <w:rsid w:val="078B1BCC"/>
    <w:rsid w:val="078F46FE"/>
    <w:rsid w:val="0793078D"/>
    <w:rsid w:val="07970803"/>
    <w:rsid w:val="07A9337A"/>
    <w:rsid w:val="07AB0366"/>
    <w:rsid w:val="07BA2D18"/>
    <w:rsid w:val="07BF78DC"/>
    <w:rsid w:val="07C70449"/>
    <w:rsid w:val="07CC6B65"/>
    <w:rsid w:val="07CD3CDD"/>
    <w:rsid w:val="07E01495"/>
    <w:rsid w:val="07E96697"/>
    <w:rsid w:val="080F05A2"/>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46BE3"/>
    <w:rsid w:val="09674661"/>
    <w:rsid w:val="096B2177"/>
    <w:rsid w:val="0971372F"/>
    <w:rsid w:val="097E672F"/>
    <w:rsid w:val="09825F02"/>
    <w:rsid w:val="0994214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84439F"/>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131CA0"/>
    <w:rsid w:val="0E214766"/>
    <w:rsid w:val="0E2340BB"/>
    <w:rsid w:val="0E2C6868"/>
    <w:rsid w:val="0E3330D0"/>
    <w:rsid w:val="0E3916C1"/>
    <w:rsid w:val="0E440278"/>
    <w:rsid w:val="0E4E5304"/>
    <w:rsid w:val="0E537C3C"/>
    <w:rsid w:val="0E5576D4"/>
    <w:rsid w:val="0E7413AC"/>
    <w:rsid w:val="0E7519BC"/>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0FFB0356"/>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2F6B51"/>
    <w:rsid w:val="113F3856"/>
    <w:rsid w:val="1155323D"/>
    <w:rsid w:val="11683FF9"/>
    <w:rsid w:val="116C4018"/>
    <w:rsid w:val="118038D3"/>
    <w:rsid w:val="118C0750"/>
    <w:rsid w:val="119229CC"/>
    <w:rsid w:val="11A17658"/>
    <w:rsid w:val="11A50508"/>
    <w:rsid w:val="11A63D04"/>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437E80"/>
    <w:rsid w:val="134C3538"/>
    <w:rsid w:val="134E54BA"/>
    <w:rsid w:val="13583391"/>
    <w:rsid w:val="136E242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6266C"/>
    <w:rsid w:val="147A1FC8"/>
    <w:rsid w:val="1483457B"/>
    <w:rsid w:val="14907687"/>
    <w:rsid w:val="14933D0B"/>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C095E"/>
    <w:rsid w:val="1785675F"/>
    <w:rsid w:val="178E4F46"/>
    <w:rsid w:val="178F5381"/>
    <w:rsid w:val="179855D1"/>
    <w:rsid w:val="179F1E7A"/>
    <w:rsid w:val="17A37760"/>
    <w:rsid w:val="17A613DC"/>
    <w:rsid w:val="17A62C41"/>
    <w:rsid w:val="17AA27DB"/>
    <w:rsid w:val="17AF2DFF"/>
    <w:rsid w:val="17B943BD"/>
    <w:rsid w:val="17C527E0"/>
    <w:rsid w:val="17CD6CCB"/>
    <w:rsid w:val="17DD5D9F"/>
    <w:rsid w:val="17EF06F4"/>
    <w:rsid w:val="18072BBA"/>
    <w:rsid w:val="180B6554"/>
    <w:rsid w:val="180B753C"/>
    <w:rsid w:val="181A753A"/>
    <w:rsid w:val="1831099E"/>
    <w:rsid w:val="18344379"/>
    <w:rsid w:val="184061B8"/>
    <w:rsid w:val="184A43F7"/>
    <w:rsid w:val="184E13FF"/>
    <w:rsid w:val="18675E2F"/>
    <w:rsid w:val="186840DA"/>
    <w:rsid w:val="186A7F3C"/>
    <w:rsid w:val="18871221"/>
    <w:rsid w:val="188A0D46"/>
    <w:rsid w:val="188D7449"/>
    <w:rsid w:val="189553E8"/>
    <w:rsid w:val="189A62E8"/>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D0B67C5"/>
    <w:rsid w:val="1D186F9D"/>
    <w:rsid w:val="1D1B3736"/>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C33BC"/>
    <w:rsid w:val="1EE21314"/>
    <w:rsid w:val="1EEF50E7"/>
    <w:rsid w:val="1EF72D37"/>
    <w:rsid w:val="1F101F77"/>
    <w:rsid w:val="1F211865"/>
    <w:rsid w:val="1F295D72"/>
    <w:rsid w:val="1F371717"/>
    <w:rsid w:val="1F4325C8"/>
    <w:rsid w:val="1F520B16"/>
    <w:rsid w:val="1F595BBB"/>
    <w:rsid w:val="1F7044DA"/>
    <w:rsid w:val="1F777E85"/>
    <w:rsid w:val="1F782E4D"/>
    <w:rsid w:val="1F7C7957"/>
    <w:rsid w:val="1FA25EA3"/>
    <w:rsid w:val="1FC127CE"/>
    <w:rsid w:val="1FD21E35"/>
    <w:rsid w:val="1FD35092"/>
    <w:rsid w:val="1FD96681"/>
    <w:rsid w:val="1FE10390"/>
    <w:rsid w:val="1FE54DBA"/>
    <w:rsid w:val="1FE73560"/>
    <w:rsid w:val="1FEE7A9C"/>
    <w:rsid w:val="200E58BD"/>
    <w:rsid w:val="2013328C"/>
    <w:rsid w:val="20373828"/>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76D95"/>
    <w:rsid w:val="2438587A"/>
    <w:rsid w:val="24386853"/>
    <w:rsid w:val="24396E2E"/>
    <w:rsid w:val="243E50DA"/>
    <w:rsid w:val="24524F8D"/>
    <w:rsid w:val="24643C1D"/>
    <w:rsid w:val="246D212F"/>
    <w:rsid w:val="24715F69"/>
    <w:rsid w:val="24760A5D"/>
    <w:rsid w:val="247D3288"/>
    <w:rsid w:val="24900AB7"/>
    <w:rsid w:val="24992B5E"/>
    <w:rsid w:val="24A16FC3"/>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423FCD"/>
    <w:rsid w:val="25462F6F"/>
    <w:rsid w:val="25560FB4"/>
    <w:rsid w:val="255B68D6"/>
    <w:rsid w:val="256271F2"/>
    <w:rsid w:val="256E3452"/>
    <w:rsid w:val="25821C68"/>
    <w:rsid w:val="25A8298E"/>
    <w:rsid w:val="25AB42B8"/>
    <w:rsid w:val="25B022B3"/>
    <w:rsid w:val="25B74631"/>
    <w:rsid w:val="25B91E90"/>
    <w:rsid w:val="25CB53FE"/>
    <w:rsid w:val="25DD4552"/>
    <w:rsid w:val="25E41FC5"/>
    <w:rsid w:val="25E513D9"/>
    <w:rsid w:val="25EE6A79"/>
    <w:rsid w:val="25EF43C8"/>
    <w:rsid w:val="25FA471E"/>
    <w:rsid w:val="26075FA8"/>
    <w:rsid w:val="2623756A"/>
    <w:rsid w:val="262E08BF"/>
    <w:rsid w:val="26310EA6"/>
    <w:rsid w:val="263951B2"/>
    <w:rsid w:val="263E55AD"/>
    <w:rsid w:val="264B37D3"/>
    <w:rsid w:val="265B2B39"/>
    <w:rsid w:val="267D748B"/>
    <w:rsid w:val="267F4FDD"/>
    <w:rsid w:val="26942FFE"/>
    <w:rsid w:val="26965DCF"/>
    <w:rsid w:val="269A23BD"/>
    <w:rsid w:val="26CD5188"/>
    <w:rsid w:val="26D16230"/>
    <w:rsid w:val="26D609E2"/>
    <w:rsid w:val="26DC3B29"/>
    <w:rsid w:val="26DE1868"/>
    <w:rsid w:val="26ED14DB"/>
    <w:rsid w:val="270F3C75"/>
    <w:rsid w:val="27157D13"/>
    <w:rsid w:val="27183A77"/>
    <w:rsid w:val="2728357B"/>
    <w:rsid w:val="27501DD7"/>
    <w:rsid w:val="27543CE2"/>
    <w:rsid w:val="276136D1"/>
    <w:rsid w:val="2766357B"/>
    <w:rsid w:val="276F3F63"/>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712DDE"/>
    <w:rsid w:val="288837AF"/>
    <w:rsid w:val="288B5171"/>
    <w:rsid w:val="288C6204"/>
    <w:rsid w:val="28954CDC"/>
    <w:rsid w:val="28A96A0F"/>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307D6E"/>
    <w:rsid w:val="293262FA"/>
    <w:rsid w:val="293C37C9"/>
    <w:rsid w:val="293C6591"/>
    <w:rsid w:val="294D06B9"/>
    <w:rsid w:val="2957531C"/>
    <w:rsid w:val="29595006"/>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9A4F35"/>
    <w:rsid w:val="2CA73FE3"/>
    <w:rsid w:val="2CAD6FE3"/>
    <w:rsid w:val="2CC91D44"/>
    <w:rsid w:val="2CCB2737"/>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B046AA"/>
    <w:rsid w:val="2EC872A0"/>
    <w:rsid w:val="2ECB7AE0"/>
    <w:rsid w:val="2EDD247F"/>
    <w:rsid w:val="2EE13DEB"/>
    <w:rsid w:val="2EEA1087"/>
    <w:rsid w:val="2EEF5B78"/>
    <w:rsid w:val="2EF90C24"/>
    <w:rsid w:val="2EFB3516"/>
    <w:rsid w:val="2EFD4FC3"/>
    <w:rsid w:val="2F096B1F"/>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F12B0"/>
    <w:rsid w:val="2FDC4E75"/>
    <w:rsid w:val="2FE27C57"/>
    <w:rsid w:val="2FE83C6E"/>
    <w:rsid w:val="2FF112AE"/>
    <w:rsid w:val="301334D4"/>
    <w:rsid w:val="3024558B"/>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AF5BE1"/>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7F506E"/>
    <w:rsid w:val="31B6217A"/>
    <w:rsid w:val="31B97BA0"/>
    <w:rsid w:val="31BC4646"/>
    <w:rsid w:val="31BD320E"/>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AD1732"/>
    <w:rsid w:val="32B21FB8"/>
    <w:rsid w:val="32D55D5C"/>
    <w:rsid w:val="32DC2873"/>
    <w:rsid w:val="32EB6E76"/>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36928"/>
    <w:rsid w:val="34AC3B1F"/>
    <w:rsid w:val="34B32942"/>
    <w:rsid w:val="34BA5F8F"/>
    <w:rsid w:val="34C42666"/>
    <w:rsid w:val="34CA4156"/>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4D485F"/>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F122D"/>
    <w:rsid w:val="3B537F3B"/>
    <w:rsid w:val="3B564493"/>
    <w:rsid w:val="3B567693"/>
    <w:rsid w:val="3B68666D"/>
    <w:rsid w:val="3B7457AD"/>
    <w:rsid w:val="3B76384C"/>
    <w:rsid w:val="3B7B144D"/>
    <w:rsid w:val="3B7F12F6"/>
    <w:rsid w:val="3B8E2DEE"/>
    <w:rsid w:val="3B920EC0"/>
    <w:rsid w:val="3B924465"/>
    <w:rsid w:val="3B9C5361"/>
    <w:rsid w:val="3BA53541"/>
    <w:rsid w:val="3BA94452"/>
    <w:rsid w:val="3BB334A8"/>
    <w:rsid w:val="3BFC0B7A"/>
    <w:rsid w:val="3BFE0815"/>
    <w:rsid w:val="3C031B6A"/>
    <w:rsid w:val="3C151A6E"/>
    <w:rsid w:val="3C1A13D5"/>
    <w:rsid w:val="3C1F3CDD"/>
    <w:rsid w:val="3C247D95"/>
    <w:rsid w:val="3C3318F7"/>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178FE"/>
    <w:rsid w:val="3D230EF3"/>
    <w:rsid w:val="3D26477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4941B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127D8E"/>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75ED9"/>
    <w:rsid w:val="461C511A"/>
    <w:rsid w:val="462778C6"/>
    <w:rsid w:val="46282E28"/>
    <w:rsid w:val="46462F04"/>
    <w:rsid w:val="46545EC0"/>
    <w:rsid w:val="46554BE7"/>
    <w:rsid w:val="465B1E86"/>
    <w:rsid w:val="465E648A"/>
    <w:rsid w:val="46604D97"/>
    <w:rsid w:val="467847A0"/>
    <w:rsid w:val="467D17CB"/>
    <w:rsid w:val="467D7DD7"/>
    <w:rsid w:val="46830DA3"/>
    <w:rsid w:val="4697740A"/>
    <w:rsid w:val="46C6208F"/>
    <w:rsid w:val="46DA12C7"/>
    <w:rsid w:val="46E42955"/>
    <w:rsid w:val="46EF544C"/>
    <w:rsid w:val="46F714E0"/>
    <w:rsid w:val="46F91A62"/>
    <w:rsid w:val="471B5457"/>
    <w:rsid w:val="471C6A14"/>
    <w:rsid w:val="471D28E4"/>
    <w:rsid w:val="473010D7"/>
    <w:rsid w:val="4732695E"/>
    <w:rsid w:val="47334610"/>
    <w:rsid w:val="473C7832"/>
    <w:rsid w:val="47525277"/>
    <w:rsid w:val="4753781A"/>
    <w:rsid w:val="478A1DFA"/>
    <w:rsid w:val="47927375"/>
    <w:rsid w:val="47971FDC"/>
    <w:rsid w:val="479D1728"/>
    <w:rsid w:val="47A928F1"/>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C5857"/>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25C76"/>
    <w:rsid w:val="4D680CE9"/>
    <w:rsid w:val="4D6E08A8"/>
    <w:rsid w:val="4D6F30CD"/>
    <w:rsid w:val="4D800373"/>
    <w:rsid w:val="4D85580A"/>
    <w:rsid w:val="4D8D2AE5"/>
    <w:rsid w:val="4D901F00"/>
    <w:rsid w:val="4D9A77EC"/>
    <w:rsid w:val="4D9D5F78"/>
    <w:rsid w:val="4D9E74D1"/>
    <w:rsid w:val="4DA22392"/>
    <w:rsid w:val="4DBC2EE2"/>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DD7968"/>
    <w:rsid w:val="50E042AF"/>
    <w:rsid w:val="50E77A58"/>
    <w:rsid w:val="51041EDF"/>
    <w:rsid w:val="51062A44"/>
    <w:rsid w:val="510F112C"/>
    <w:rsid w:val="511836CB"/>
    <w:rsid w:val="51342DC6"/>
    <w:rsid w:val="51394C04"/>
    <w:rsid w:val="513C5648"/>
    <w:rsid w:val="515143AB"/>
    <w:rsid w:val="51573568"/>
    <w:rsid w:val="515A17DC"/>
    <w:rsid w:val="51651E90"/>
    <w:rsid w:val="51685DFA"/>
    <w:rsid w:val="51705953"/>
    <w:rsid w:val="51725D98"/>
    <w:rsid w:val="51736098"/>
    <w:rsid w:val="517B7B1C"/>
    <w:rsid w:val="5184324A"/>
    <w:rsid w:val="51885B32"/>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40D9F"/>
    <w:rsid w:val="52963B66"/>
    <w:rsid w:val="529C732E"/>
    <w:rsid w:val="529F485A"/>
    <w:rsid w:val="52A07902"/>
    <w:rsid w:val="52AC16F5"/>
    <w:rsid w:val="52AC782E"/>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D37BF3"/>
    <w:rsid w:val="53D43A38"/>
    <w:rsid w:val="53D65728"/>
    <w:rsid w:val="53DB0569"/>
    <w:rsid w:val="53E24AC4"/>
    <w:rsid w:val="53E661A0"/>
    <w:rsid w:val="53FE42EB"/>
    <w:rsid w:val="53FF3ABE"/>
    <w:rsid w:val="54175BE1"/>
    <w:rsid w:val="54192F65"/>
    <w:rsid w:val="543770F8"/>
    <w:rsid w:val="543B6EBE"/>
    <w:rsid w:val="5445166E"/>
    <w:rsid w:val="54632332"/>
    <w:rsid w:val="546A5504"/>
    <w:rsid w:val="546F0D2A"/>
    <w:rsid w:val="54706638"/>
    <w:rsid w:val="547236DF"/>
    <w:rsid w:val="547B4986"/>
    <w:rsid w:val="54837C53"/>
    <w:rsid w:val="548D1E83"/>
    <w:rsid w:val="54944CE7"/>
    <w:rsid w:val="549555A5"/>
    <w:rsid w:val="549E7BA6"/>
    <w:rsid w:val="54AF6E20"/>
    <w:rsid w:val="54B41E40"/>
    <w:rsid w:val="54B57C0A"/>
    <w:rsid w:val="54D62DF7"/>
    <w:rsid w:val="54E95C39"/>
    <w:rsid w:val="54F54ADE"/>
    <w:rsid w:val="54FC00A7"/>
    <w:rsid w:val="551B4BD7"/>
    <w:rsid w:val="552A54CB"/>
    <w:rsid w:val="552D4EB6"/>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6FC5D99"/>
    <w:rsid w:val="57050C83"/>
    <w:rsid w:val="57055BD6"/>
    <w:rsid w:val="57213FE5"/>
    <w:rsid w:val="572D67AB"/>
    <w:rsid w:val="573F708F"/>
    <w:rsid w:val="57435BFF"/>
    <w:rsid w:val="575426FE"/>
    <w:rsid w:val="575F25E8"/>
    <w:rsid w:val="576B65C3"/>
    <w:rsid w:val="576D7C54"/>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B55B5"/>
    <w:rsid w:val="585D5B14"/>
    <w:rsid w:val="5872028B"/>
    <w:rsid w:val="587F63E1"/>
    <w:rsid w:val="588459A1"/>
    <w:rsid w:val="588A7049"/>
    <w:rsid w:val="588F2A57"/>
    <w:rsid w:val="58983966"/>
    <w:rsid w:val="589E3B99"/>
    <w:rsid w:val="589F3533"/>
    <w:rsid w:val="58AC162C"/>
    <w:rsid w:val="58BE3B64"/>
    <w:rsid w:val="58CA78F9"/>
    <w:rsid w:val="58D46D1B"/>
    <w:rsid w:val="58EB54CA"/>
    <w:rsid w:val="58F5414C"/>
    <w:rsid w:val="58FF6291"/>
    <w:rsid w:val="590B15D2"/>
    <w:rsid w:val="590B7B6A"/>
    <w:rsid w:val="59143609"/>
    <w:rsid w:val="59235D2C"/>
    <w:rsid w:val="592C48F9"/>
    <w:rsid w:val="593261D2"/>
    <w:rsid w:val="593E6D79"/>
    <w:rsid w:val="59423730"/>
    <w:rsid w:val="59453D6E"/>
    <w:rsid w:val="59506815"/>
    <w:rsid w:val="59517F98"/>
    <w:rsid w:val="59586CE1"/>
    <w:rsid w:val="595A6E9E"/>
    <w:rsid w:val="597D7E81"/>
    <w:rsid w:val="597E00DF"/>
    <w:rsid w:val="5980128D"/>
    <w:rsid w:val="59990772"/>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853A54"/>
    <w:rsid w:val="5B8B1199"/>
    <w:rsid w:val="5B9D08DB"/>
    <w:rsid w:val="5BA92534"/>
    <w:rsid w:val="5BAD5A86"/>
    <w:rsid w:val="5BC937CE"/>
    <w:rsid w:val="5BCC45DF"/>
    <w:rsid w:val="5BCD41C3"/>
    <w:rsid w:val="5BD429A6"/>
    <w:rsid w:val="5BD87A0A"/>
    <w:rsid w:val="5C0025C0"/>
    <w:rsid w:val="5C0547A9"/>
    <w:rsid w:val="5C0B0C40"/>
    <w:rsid w:val="5C102B71"/>
    <w:rsid w:val="5C180007"/>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047D8"/>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B814E2"/>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65593"/>
    <w:rsid w:val="67427945"/>
    <w:rsid w:val="67570318"/>
    <w:rsid w:val="675E2E45"/>
    <w:rsid w:val="676811E7"/>
    <w:rsid w:val="678164D2"/>
    <w:rsid w:val="67845964"/>
    <w:rsid w:val="67880ECE"/>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5E0B86"/>
    <w:rsid w:val="68612CB6"/>
    <w:rsid w:val="68667455"/>
    <w:rsid w:val="6867315A"/>
    <w:rsid w:val="6897693F"/>
    <w:rsid w:val="68A23115"/>
    <w:rsid w:val="68AF7BA7"/>
    <w:rsid w:val="68CE29AC"/>
    <w:rsid w:val="68DE5FCB"/>
    <w:rsid w:val="68E34076"/>
    <w:rsid w:val="68E65681"/>
    <w:rsid w:val="68E979E6"/>
    <w:rsid w:val="68F145B5"/>
    <w:rsid w:val="68FA5214"/>
    <w:rsid w:val="69042888"/>
    <w:rsid w:val="6906197A"/>
    <w:rsid w:val="690C637F"/>
    <w:rsid w:val="692A17F3"/>
    <w:rsid w:val="692A799A"/>
    <w:rsid w:val="692C195B"/>
    <w:rsid w:val="69360DF4"/>
    <w:rsid w:val="693B629B"/>
    <w:rsid w:val="69477B83"/>
    <w:rsid w:val="696F6003"/>
    <w:rsid w:val="698771E6"/>
    <w:rsid w:val="69906172"/>
    <w:rsid w:val="699B1540"/>
    <w:rsid w:val="699D4818"/>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A11EE"/>
    <w:rsid w:val="6B4C3B26"/>
    <w:rsid w:val="6B6162D1"/>
    <w:rsid w:val="6B7747FD"/>
    <w:rsid w:val="6B8D6111"/>
    <w:rsid w:val="6B9C3AE5"/>
    <w:rsid w:val="6BA924EB"/>
    <w:rsid w:val="6BB3693A"/>
    <w:rsid w:val="6BB3754C"/>
    <w:rsid w:val="6BBE51DA"/>
    <w:rsid w:val="6BC86908"/>
    <w:rsid w:val="6BCE245B"/>
    <w:rsid w:val="6BD178A8"/>
    <w:rsid w:val="6BD44297"/>
    <w:rsid w:val="6BDB0A87"/>
    <w:rsid w:val="6BE00053"/>
    <w:rsid w:val="6BEB5350"/>
    <w:rsid w:val="6BEC49EE"/>
    <w:rsid w:val="6BEC7C68"/>
    <w:rsid w:val="6BEE39CD"/>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606ADB"/>
    <w:rsid w:val="6F607D06"/>
    <w:rsid w:val="6F61544C"/>
    <w:rsid w:val="6F705087"/>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944739"/>
    <w:rsid w:val="72A61C32"/>
    <w:rsid w:val="72A97A08"/>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BB37C9"/>
    <w:rsid w:val="75C863E2"/>
    <w:rsid w:val="75D07955"/>
    <w:rsid w:val="75DA5365"/>
    <w:rsid w:val="75DE03EB"/>
    <w:rsid w:val="75E90A3F"/>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E45329"/>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66A25"/>
    <w:rsid w:val="7B3E60A8"/>
    <w:rsid w:val="7B60366D"/>
    <w:rsid w:val="7B74384D"/>
    <w:rsid w:val="7B826E52"/>
    <w:rsid w:val="7B8A5D04"/>
    <w:rsid w:val="7B8C21DA"/>
    <w:rsid w:val="7B940404"/>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9D1DCA"/>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standalone="yes"?>
<Relationships xmlns="http://schemas.openxmlformats.org/package/2006/relationships"><Relationship Id="rId4" Type="http://schemas.openxmlformats.org/officeDocument/2006/relationships/image" Target="media/image2.wmf"/><Relationship Id="rId3" Type="http://schemas.openxmlformats.org/officeDocument/2006/relationships/oleObject" Target="embeddings/oleObject2.bin"/><Relationship Id="rId2" Type="http://schemas.openxmlformats.org/officeDocument/2006/relationships/image" Target="media/image1.wmf"/><Relationship Id="rId1" Type="http://schemas.openxmlformats.org/officeDocument/2006/relationships/oleObject" Target="embeddings/oleObject1.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2025-11-07T08:58:54Z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